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8" w:rsidRPr="00092023" w:rsidRDefault="00D068E8">
      <w:pPr>
        <w:rPr>
          <w:rFonts w:cs="Arial"/>
          <w:color w:val="2A2A2A"/>
          <w:sz w:val="44"/>
          <w:szCs w:val="32"/>
        </w:rPr>
      </w:pPr>
      <w:r w:rsidRPr="00092023">
        <w:rPr>
          <w:rFonts w:cs="Arial"/>
          <w:color w:val="484848"/>
          <w:sz w:val="44"/>
          <w:szCs w:val="32"/>
        </w:rPr>
        <w:t>Porselensproduksjon under Transition (1621-1684)</w:t>
      </w:r>
    </w:p>
    <w:p w:rsidR="00092023" w:rsidRDefault="00D068E8">
      <w:pPr>
        <w:rPr>
          <w:rFonts w:cs="Arial"/>
          <w:color w:val="2A2A2A"/>
          <w:sz w:val="32"/>
          <w:szCs w:val="32"/>
        </w:rPr>
      </w:pPr>
      <w:r w:rsidRPr="00092023">
        <w:rPr>
          <w:rFonts w:cs="Arial"/>
          <w:b/>
          <w:color w:val="2A2A2A"/>
          <w:sz w:val="32"/>
          <w:szCs w:val="32"/>
        </w:rPr>
        <w:t>Av Carl Gamlem</w:t>
      </w:r>
      <w:r w:rsidRPr="00092023">
        <w:rPr>
          <w:rFonts w:cs="Arial"/>
          <w:color w:val="8E8E8E"/>
          <w:sz w:val="32"/>
          <w:szCs w:val="32"/>
        </w:rPr>
        <w:br/>
      </w:r>
      <w:r w:rsidRPr="00092023">
        <w:rPr>
          <w:rFonts w:cs="Arial"/>
          <w:color w:val="8E8E8E"/>
          <w:sz w:val="32"/>
          <w:szCs w:val="32"/>
        </w:rPr>
        <w:br/>
      </w:r>
      <w:r w:rsidRPr="00092023">
        <w:rPr>
          <w:rFonts w:cs="Arial"/>
          <w:color w:val="2A2A2A"/>
          <w:sz w:val="32"/>
          <w:szCs w:val="32"/>
        </w:rPr>
        <w:t xml:space="preserve">Selv </w:t>
      </w:r>
      <w:proofErr w:type="gramStart"/>
      <w:r w:rsidRPr="00092023">
        <w:rPr>
          <w:rFonts w:cs="Arial"/>
          <w:color w:val="2A2A2A"/>
          <w:sz w:val="32"/>
          <w:szCs w:val="32"/>
        </w:rPr>
        <w:t>om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Ming-dynastiet varte frem til 1644, hvor det ble avløst av Qing-dynastiet, har man valgt å kalle tidsperioden 1621 – 1684 for Transition. Totalt ca. 63 år som fordeles på følgende keiserperioder: Tiangi (1621 – 1627), Chongzhen (1628 – 1644) under Ming-dynastiet, samt Shunzhi (1644 – 1661)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tidlig Kangxi i 1662 </w:t>
      </w:r>
      <w:r w:rsidR="00092023">
        <w:rPr>
          <w:rFonts w:cs="Arial"/>
          <w:color w:val="2A2A2A"/>
          <w:sz w:val="32"/>
          <w:szCs w:val="32"/>
        </w:rPr>
        <w:t>– 1684) under Qing-dynastiet.</w:t>
      </w:r>
      <w:r w:rsidR="00092023">
        <w:rPr>
          <w:rFonts w:cs="Arial"/>
          <w:color w:val="2A2A2A"/>
          <w:sz w:val="32"/>
          <w:szCs w:val="32"/>
        </w:rPr>
        <w:br/>
      </w:r>
      <w:r w:rsidRPr="00092023">
        <w:rPr>
          <w:rFonts w:cs="Arial"/>
          <w:color w:val="2A2A2A"/>
          <w:sz w:val="32"/>
          <w:szCs w:val="32"/>
        </w:rPr>
        <w:t xml:space="preserve">Dette var en periode preget av mye uro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borgerkrig, og den keiserlige kontroll av porselensproduksjonen i Jingdezhen var svært begrenset, i den grad det var noen kontroll overhodet. Det er derfor denne tiden skiller seg ut, sett i forhold til Ming-dynastiet før 1621,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Qing-dynastiet etter 1684.</w:t>
      </w:r>
      <w:r w:rsidRPr="00092023">
        <w:rPr>
          <w:rFonts w:cs="Arial"/>
          <w:color w:val="2A2A2A"/>
          <w:sz w:val="32"/>
          <w:szCs w:val="32"/>
        </w:rPr>
        <w:br/>
        <w:t> </w:t>
      </w:r>
      <w:r w:rsidRPr="00092023">
        <w:rPr>
          <w:rFonts w:cs="Arial"/>
          <w:color w:val="2A2A2A"/>
          <w:sz w:val="32"/>
          <w:szCs w:val="32"/>
        </w:rPr>
        <w:br/>
      </w:r>
      <w:proofErr w:type="gramStart"/>
      <w:r w:rsidRPr="00092023">
        <w:rPr>
          <w:rFonts w:cs="Arial"/>
          <w:color w:val="2A2A2A"/>
          <w:sz w:val="32"/>
          <w:szCs w:val="32"/>
        </w:rPr>
        <w:t>Fraværet av aktiv kontinuerlig keiserlig styring resulterte i at ikke-keiserlige ovner spilte en ledende rolle i porselensproduksjonen.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Epoken er derfor spesielt preget av at det meste av porselensproduksjonen foregikk ved private ovner, de såkalte folkelige ovnene. </w:t>
      </w:r>
      <w:proofErr w:type="gramStart"/>
      <w:r w:rsidRPr="00092023">
        <w:rPr>
          <w:rFonts w:cs="Arial"/>
          <w:color w:val="2A2A2A"/>
          <w:sz w:val="32"/>
          <w:szCs w:val="32"/>
        </w:rPr>
        <w:t>Keramikerne som tidligere hadde bidratt til leveranser til det keiserlige hoff, gikk nå over til kommersiell produksjon ved disse private ovnene.</w:t>
      </w:r>
      <w:proofErr w:type="gramEnd"/>
      <w:r w:rsidRPr="00092023">
        <w:rPr>
          <w:rFonts w:cs="Arial"/>
          <w:color w:val="2A2A2A"/>
          <w:sz w:val="32"/>
          <w:szCs w:val="32"/>
        </w:rPr>
        <w:br/>
        <w:t> </w:t>
      </w:r>
      <w:r w:rsidRPr="00092023">
        <w:rPr>
          <w:rFonts w:cs="Arial"/>
          <w:color w:val="2A2A2A"/>
          <w:sz w:val="32"/>
          <w:szCs w:val="32"/>
        </w:rPr>
        <w:br/>
        <w:t xml:space="preserve">De folkelige ovnene startet produksjon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salg til det ikke-keiserlige innenlandske marked, og til de nye eksportmarkeder som dukket opp. Herunder spesielt til Holland og Japan. De private ovnene lå i utkanten av Jingdezhen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andre stede</w:t>
      </w:r>
      <w:r w:rsidR="00092023">
        <w:rPr>
          <w:rFonts w:cs="Arial"/>
          <w:color w:val="2A2A2A"/>
          <w:sz w:val="32"/>
          <w:szCs w:val="32"/>
        </w:rPr>
        <w:t>r i Kina, herunder Dehua, Swatow</w:t>
      </w:r>
      <w:r w:rsidRPr="00092023">
        <w:rPr>
          <w:rFonts w:cs="Arial"/>
          <w:color w:val="2A2A2A"/>
          <w:sz w:val="32"/>
          <w:szCs w:val="32"/>
        </w:rPr>
        <w:t>, Zhangzhou og i Guangdong-provinsen syd for Fukien.</w:t>
      </w:r>
      <w:r w:rsidRPr="00092023">
        <w:rPr>
          <w:rFonts w:cs="Arial"/>
          <w:color w:val="2A2A2A"/>
          <w:sz w:val="32"/>
          <w:szCs w:val="32"/>
        </w:rPr>
        <w:br/>
        <w:t> </w:t>
      </w:r>
      <w:r w:rsidRPr="00092023">
        <w:rPr>
          <w:rFonts w:cs="Arial"/>
          <w:color w:val="2A2A2A"/>
          <w:sz w:val="32"/>
          <w:szCs w:val="32"/>
        </w:rPr>
        <w:br/>
      </w:r>
      <w:r w:rsidRPr="00092023">
        <w:rPr>
          <w:rFonts w:cs="Arial"/>
          <w:color w:val="2A2A2A"/>
          <w:sz w:val="32"/>
          <w:szCs w:val="32"/>
        </w:rPr>
        <w:lastRenderedPageBreak/>
        <w:t xml:space="preserve">De private ovnene opplevde ikke bare en økonomisk blomstringstid, men også en kunstnerisk. </w:t>
      </w:r>
      <w:proofErr w:type="gramStart"/>
      <w:r w:rsidRPr="00092023">
        <w:rPr>
          <w:rFonts w:cs="Arial"/>
          <w:color w:val="2A2A2A"/>
          <w:sz w:val="32"/>
          <w:szCs w:val="32"/>
        </w:rPr>
        <w:t>Det var nå rom for en kunstnerisk frihet som bidro til en kvalitetsheving i forhold til tidligere.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Dette resulterte i en av de mest dynamiske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fascinerende periodene i kinesisk porselenshistorie. De private ovnene bidro til </w:t>
      </w:r>
      <w:proofErr w:type="gramStart"/>
      <w:r w:rsidRPr="00092023">
        <w:rPr>
          <w:rFonts w:cs="Arial"/>
          <w:color w:val="2A2A2A"/>
          <w:sz w:val="32"/>
          <w:szCs w:val="32"/>
        </w:rPr>
        <w:t>et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brudd med gamle tradisjoner. Det skjedde </w:t>
      </w:r>
      <w:proofErr w:type="gramStart"/>
      <w:r w:rsidRPr="00092023">
        <w:rPr>
          <w:rFonts w:cs="Arial"/>
          <w:color w:val="2A2A2A"/>
          <w:sz w:val="32"/>
          <w:szCs w:val="32"/>
        </w:rPr>
        <w:t>et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gjennombrudd med en friere innovativ stil i former, utvikling av renheten i glasur og kobolt, og dekorasjonsteknikk og motivvalg.</w:t>
      </w:r>
      <w:r w:rsidRPr="00092023">
        <w:rPr>
          <w:rFonts w:cs="Arial"/>
          <w:color w:val="2A2A2A"/>
          <w:sz w:val="32"/>
          <w:szCs w:val="32"/>
        </w:rPr>
        <w:br/>
        <w:t> </w:t>
      </w:r>
      <w:r w:rsidRPr="00092023">
        <w:rPr>
          <w:rFonts w:cs="Arial"/>
          <w:color w:val="2A2A2A"/>
          <w:sz w:val="32"/>
          <w:szCs w:val="32"/>
        </w:rPr>
        <w:br/>
        <w:t xml:space="preserve">Dette medførte også at produsentene måtte tilpasse varene etter kundenes ønsker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behov. Heretter var det individuell smak, artistisk tilnærming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etterspørsel som var stimulans for utviklingen av porselensproduksjonen. Porselensprodusentene utviklet en både gjenkjennelig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suksessfull stil. Skjønnheten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livligheten i dekoren, sammen med utvikling av formene, ga et sterkt uttrykk for individuell og innovativ porselenskunst.</w:t>
      </w:r>
      <w:r w:rsidRPr="00092023">
        <w:rPr>
          <w:rFonts w:cs="Arial"/>
          <w:color w:val="2A2A2A"/>
          <w:sz w:val="32"/>
          <w:szCs w:val="32"/>
        </w:rPr>
        <w:br/>
        <w:t> </w:t>
      </w:r>
      <w:r w:rsidR="00092023" w:rsidRPr="00092023">
        <w:rPr>
          <w:rFonts w:cs="Arial"/>
          <w:noProof/>
          <w:color w:val="8E8E8E"/>
          <w:sz w:val="32"/>
          <w:szCs w:val="32"/>
          <w:lang w:val="nb-NO"/>
        </w:rPr>
        <w:drawing>
          <wp:inline distT="0" distB="0" distL="0" distR="0" wp14:anchorId="57B5409B" wp14:editId="5F7C702B">
            <wp:extent cx="3941143" cy="2971800"/>
            <wp:effectExtent l="0" t="0" r="2540" b="0"/>
            <wp:docPr id="1" name="Picture 1" descr="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559" cy="29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023">
        <w:rPr>
          <w:rFonts w:cs="Arial"/>
          <w:color w:val="2A2A2A"/>
          <w:sz w:val="32"/>
          <w:szCs w:val="32"/>
        </w:rPr>
        <w:br/>
      </w:r>
      <w:r w:rsidR="00092023" w:rsidRPr="00092023">
        <w:rPr>
          <w:rFonts w:cs="Arial"/>
          <w:color w:val="2A2A2A"/>
          <w:sz w:val="24"/>
          <w:szCs w:val="32"/>
        </w:rPr>
        <w:t xml:space="preserve">Fig. </w:t>
      </w:r>
      <w:proofErr w:type="gramStart"/>
      <w:r w:rsidR="00092023" w:rsidRPr="00092023">
        <w:rPr>
          <w:rFonts w:cs="Arial"/>
          <w:color w:val="2A2A2A"/>
          <w:sz w:val="24"/>
          <w:szCs w:val="32"/>
        </w:rPr>
        <w:t>1  To</w:t>
      </w:r>
      <w:proofErr w:type="gramEnd"/>
      <w:r w:rsidR="00092023" w:rsidRPr="00092023">
        <w:rPr>
          <w:rFonts w:cs="Arial"/>
          <w:color w:val="2A2A2A"/>
          <w:sz w:val="24"/>
          <w:szCs w:val="32"/>
        </w:rPr>
        <w:t> krukker med lokk i flerfargedekoren Wucai.</w:t>
      </w:r>
      <w:r w:rsidR="00092023" w:rsidRPr="00092023">
        <w:rPr>
          <w:rFonts w:cs="Arial"/>
          <w:color w:val="2A2A2A"/>
          <w:sz w:val="24"/>
          <w:szCs w:val="32"/>
        </w:rPr>
        <w:br/>
      </w:r>
      <w:proofErr w:type="gramStart"/>
      <w:r w:rsidR="00092023" w:rsidRPr="00092023">
        <w:rPr>
          <w:rFonts w:cs="Arial"/>
          <w:color w:val="2A2A2A"/>
          <w:sz w:val="24"/>
          <w:szCs w:val="32"/>
        </w:rPr>
        <w:t>Transition ca 1650.</w:t>
      </w:r>
      <w:proofErr w:type="gramEnd"/>
      <w:r w:rsidR="00092023" w:rsidRPr="00092023">
        <w:rPr>
          <w:rFonts w:cs="Arial"/>
          <w:color w:val="2A2A2A"/>
          <w:sz w:val="24"/>
          <w:szCs w:val="32"/>
        </w:rPr>
        <w:t xml:space="preserve"> H. 51 cm.</w:t>
      </w:r>
    </w:p>
    <w:p w:rsidR="003A7257" w:rsidRPr="00092023" w:rsidRDefault="00D068E8">
      <w:pPr>
        <w:rPr>
          <w:rFonts w:cs="Arial"/>
          <w:color w:val="2A2A2A"/>
          <w:sz w:val="32"/>
          <w:szCs w:val="32"/>
        </w:rPr>
      </w:pPr>
      <w:r w:rsidRPr="00092023">
        <w:rPr>
          <w:rFonts w:cs="Arial"/>
          <w:color w:val="2A2A2A"/>
          <w:sz w:val="32"/>
          <w:szCs w:val="32"/>
        </w:rPr>
        <w:lastRenderedPageBreak/>
        <w:t xml:space="preserve">Transition varte i mer enn 60 år,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det var ulike utviklingsperioder i denne tiden. Generelt </w:t>
      </w:r>
      <w:proofErr w:type="gramStart"/>
      <w:r w:rsidRPr="00092023">
        <w:rPr>
          <w:rFonts w:cs="Arial"/>
          <w:color w:val="2A2A2A"/>
          <w:sz w:val="32"/>
          <w:szCs w:val="32"/>
        </w:rPr>
        <w:t>kan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det likevel hevdes at porselenet ble utviklet til å bli teknisk bedre. Det ble hvitere, renere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med færre produksjonsfeil og urenheter, men var som regel relativt tykt og tungt. </w:t>
      </w:r>
      <w:proofErr w:type="gramStart"/>
      <w:r w:rsidRPr="00092023">
        <w:rPr>
          <w:rFonts w:cs="Arial"/>
          <w:color w:val="2A2A2A"/>
          <w:sz w:val="32"/>
          <w:szCs w:val="32"/>
        </w:rPr>
        <w:t>Spesielt sammenlignet med senere utvikling under Kangxi.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Håndverket var bra,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formene var vel balansert. Også kobolten ble forbedret,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det ble benyttet en tykk transparent glasur som ga kobolten en myk og vakker farge.</w:t>
      </w:r>
    </w:p>
    <w:p w:rsidR="00D068E8" w:rsidRPr="00092023" w:rsidRDefault="00D068E8">
      <w:pPr>
        <w:rPr>
          <w:rFonts w:cs="Arial"/>
          <w:color w:val="2A2A2A"/>
          <w:sz w:val="32"/>
          <w:szCs w:val="32"/>
        </w:rPr>
      </w:pPr>
      <w:r w:rsidRPr="00092023">
        <w:rPr>
          <w:rFonts w:cs="Arial"/>
          <w:color w:val="2A2A2A"/>
          <w:sz w:val="32"/>
          <w:szCs w:val="32"/>
        </w:rPr>
        <w:t xml:space="preserve">Epoken er den frie penselens tid,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preges av meget fritt maleri. Dekoren er generelt </w:t>
      </w:r>
      <w:proofErr w:type="gramStart"/>
      <w:r w:rsidRPr="00092023">
        <w:rPr>
          <w:rFonts w:cs="Arial"/>
          <w:color w:val="2A2A2A"/>
          <w:sz w:val="32"/>
          <w:szCs w:val="32"/>
        </w:rPr>
        <w:t>fri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og artistisk malt. </w:t>
      </w:r>
      <w:proofErr w:type="gramStart"/>
      <w:r w:rsidRPr="00092023">
        <w:rPr>
          <w:rFonts w:cs="Arial"/>
          <w:color w:val="2A2A2A"/>
          <w:sz w:val="32"/>
          <w:szCs w:val="32"/>
        </w:rPr>
        <w:t>Wanli-perioden med ofte overdekorerte gjenstander, ble erstattet med mer luft omkring de tegnede motivene.</w:t>
      </w:r>
      <w:proofErr w:type="gramEnd"/>
      <w:r w:rsidRPr="00092023">
        <w:rPr>
          <w:rFonts w:cs="Arial"/>
          <w:color w:val="2A2A2A"/>
          <w:sz w:val="32"/>
          <w:szCs w:val="32"/>
        </w:rPr>
        <w:br/>
        <w:t>​</w:t>
      </w:r>
      <w:r w:rsidRPr="00092023">
        <w:rPr>
          <w:rFonts w:cs="Arial"/>
          <w:color w:val="2A2A2A"/>
          <w:sz w:val="32"/>
          <w:szCs w:val="32"/>
        </w:rPr>
        <w:br/>
        <w:t xml:space="preserve">De tradisjonelle kinesiske dekormotivene i blomster, fugler, buddhistiske og daoistiske symboler m.m., ble nå utvidet med det som blir omtalt </w:t>
      </w:r>
      <w:proofErr w:type="gramStart"/>
      <w:r w:rsidRPr="00092023">
        <w:rPr>
          <w:rFonts w:cs="Arial"/>
          <w:color w:val="2A2A2A"/>
          <w:sz w:val="32"/>
          <w:szCs w:val="32"/>
        </w:rPr>
        <w:t>som ”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Transition stil”. De ble nå vanlig å dekorere hele porselensoverflaten med </w:t>
      </w:r>
      <w:proofErr w:type="gramStart"/>
      <w:r w:rsidRPr="00092023">
        <w:rPr>
          <w:rFonts w:cs="Arial"/>
          <w:color w:val="2A2A2A"/>
          <w:sz w:val="32"/>
          <w:szCs w:val="32"/>
        </w:rPr>
        <w:t>et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scenario. </w:t>
      </w:r>
      <w:r w:rsidRPr="00092023">
        <w:rPr>
          <w:rFonts w:cs="Arial"/>
          <w:color w:val="2A2A2A"/>
          <w:sz w:val="32"/>
          <w:szCs w:val="32"/>
        </w:rPr>
        <w:br/>
      </w:r>
      <w:r w:rsidRPr="00092023">
        <w:rPr>
          <w:rFonts w:cs="Arial"/>
          <w:color w:val="2A2A2A"/>
          <w:sz w:val="32"/>
          <w:szCs w:val="32"/>
        </w:rPr>
        <w:br/>
        <w:t xml:space="preserve">Nye former for dekor ble utviklet. Herunder flerfargedekoren Wucai, som var en </w:t>
      </w:r>
      <w:proofErr w:type="gramStart"/>
      <w:r w:rsidRPr="00092023">
        <w:rPr>
          <w:rFonts w:cs="Arial"/>
          <w:color w:val="2A2A2A"/>
          <w:sz w:val="32"/>
          <w:szCs w:val="32"/>
        </w:rPr>
        <w:t>blanding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av underglasurblått og rødt, og overglasurmalte emaljefarger. Keramikerne begynte nå systematisk å inkorporere tresnitt som illustrerte kinesisk litteratur, sagn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artistisk mote inn i porselensdekoren. Dette ble opprinnelig gjort for å imøtekomme den kommersielle etterspørselen </w:t>
      </w:r>
      <w:proofErr w:type="gramStart"/>
      <w:r w:rsidRPr="00092023">
        <w:rPr>
          <w:rFonts w:cs="Arial"/>
          <w:color w:val="2A2A2A"/>
          <w:sz w:val="32"/>
          <w:szCs w:val="32"/>
        </w:rPr>
        <w:t>fra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det kinesiske innenlandske marked.</w:t>
      </w:r>
      <w:r w:rsidRPr="00092023">
        <w:rPr>
          <w:rFonts w:cs="Arial"/>
          <w:color w:val="2A2A2A"/>
          <w:sz w:val="32"/>
          <w:szCs w:val="32"/>
        </w:rPr>
        <w:br/>
      </w:r>
      <w:r w:rsidRPr="00092023">
        <w:rPr>
          <w:rFonts w:cs="Arial"/>
          <w:color w:val="2A2A2A"/>
          <w:sz w:val="32"/>
          <w:szCs w:val="32"/>
        </w:rPr>
        <w:br/>
        <w:t xml:space="preserve">Det ble også vanlig med motiver med detaljerte bilder med hele landskap, som fjellandskap, eller sjø-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elvelandskap, gjerne med kinesiske personer i aktivitet i forgrunnen. Disse ble ofte fremstilt i det </w:t>
      </w:r>
      <w:r w:rsidRPr="00092023">
        <w:rPr>
          <w:rFonts w:cs="Arial"/>
          <w:color w:val="2A2A2A"/>
          <w:sz w:val="32"/>
          <w:szCs w:val="32"/>
        </w:rPr>
        <w:lastRenderedPageBreak/>
        <w:t xml:space="preserve">man i vesten </w:t>
      </w:r>
      <w:proofErr w:type="gramStart"/>
      <w:r w:rsidRPr="00092023">
        <w:rPr>
          <w:rFonts w:cs="Arial"/>
          <w:color w:val="2A2A2A"/>
          <w:sz w:val="32"/>
          <w:szCs w:val="32"/>
        </w:rPr>
        <w:t>kaller ”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Master of the Rock” stil. </w:t>
      </w:r>
      <w:proofErr w:type="gramStart"/>
      <w:r w:rsidRPr="00092023">
        <w:rPr>
          <w:rFonts w:cs="Arial"/>
          <w:color w:val="2A2A2A"/>
          <w:sz w:val="32"/>
          <w:szCs w:val="32"/>
        </w:rPr>
        <w:t>(Se under Shunzhi).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Selv </w:t>
      </w:r>
      <w:proofErr w:type="gramStart"/>
      <w:r w:rsidRPr="00092023">
        <w:rPr>
          <w:rFonts w:cs="Arial"/>
          <w:color w:val="2A2A2A"/>
          <w:sz w:val="32"/>
          <w:szCs w:val="32"/>
        </w:rPr>
        <w:t>om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disse nye motivene i utgangspunktet var myntet på det kinesiske hjemmemarkedet, ble de også vanlig på porselen med europeiske former for eksport til Europa.</w:t>
      </w:r>
      <w:r w:rsidRPr="00092023">
        <w:rPr>
          <w:rFonts w:cs="Arial"/>
          <w:color w:val="2A2A2A"/>
          <w:sz w:val="32"/>
          <w:szCs w:val="32"/>
        </w:rPr>
        <w:br/>
        <w:t> </w:t>
      </w:r>
      <w:r w:rsidRPr="00092023">
        <w:rPr>
          <w:rFonts w:cs="Arial"/>
          <w:color w:val="2A2A2A"/>
          <w:sz w:val="32"/>
          <w:szCs w:val="32"/>
        </w:rPr>
        <w:br/>
        <w:t xml:space="preserve">Under Transition ble kinesisk porselen mer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mer vanlig i Europa, og da spesielt Holland. I løpet av 1630-1640 var hollendernes porselenshandel med Kina vel organisert </w:t>
      </w:r>
      <w:proofErr w:type="gramStart"/>
      <w:r w:rsidRPr="00092023">
        <w:rPr>
          <w:rFonts w:cs="Arial"/>
          <w:color w:val="2A2A2A"/>
          <w:sz w:val="32"/>
          <w:szCs w:val="32"/>
        </w:rPr>
        <w:t>fra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deres handelsstasjon på Formosa (Vereenigde Oost-Indische Compagnie, VOC). Hundre tusener av porselensgjenstander ble kjøpt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skipet både til Holland og til det asiatiske markedet.</w:t>
      </w:r>
      <w:r w:rsidRPr="00092023">
        <w:rPr>
          <w:rFonts w:cs="Arial"/>
          <w:color w:val="2A2A2A"/>
          <w:sz w:val="32"/>
          <w:szCs w:val="32"/>
        </w:rPr>
        <w:br/>
        <w:t> </w:t>
      </w:r>
      <w:r w:rsidRPr="00092023">
        <w:rPr>
          <w:rFonts w:cs="Arial"/>
          <w:color w:val="2A2A2A"/>
          <w:sz w:val="32"/>
          <w:szCs w:val="32"/>
        </w:rPr>
        <w:br/>
      </w:r>
      <w:proofErr w:type="gramStart"/>
      <w:r w:rsidRPr="00092023">
        <w:rPr>
          <w:rFonts w:cs="Arial"/>
          <w:color w:val="2A2A2A"/>
          <w:sz w:val="32"/>
          <w:szCs w:val="32"/>
        </w:rPr>
        <w:t>Fra ca. 1635 begynte VOC å bestille porselen i europeiske former.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Herunder bordserviser, lysestaker, saltkar, ølmugger, geneverflasker, sennepskrukker m.m. De kinesiske keramikerne tilpasset produksjonen for å imøtekomme sine utenlandske kunder,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de nye bestillingene fra VOC var normalt ikke noe problem å etterkomme.</w:t>
      </w:r>
      <w:r w:rsidRPr="00092023">
        <w:rPr>
          <w:rFonts w:cs="Arial"/>
          <w:color w:val="2A2A2A"/>
          <w:sz w:val="32"/>
          <w:szCs w:val="32"/>
        </w:rPr>
        <w:br/>
        <w:t> </w:t>
      </w:r>
      <w:r w:rsidRPr="00092023">
        <w:rPr>
          <w:rFonts w:cs="Arial"/>
          <w:color w:val="2A2A2A"/>
          <w:sz w:val="32"/>
          <w:szCs w:val="32"/>
        </w:rPr>
        <w:br/>
        <w:t xml:space="preserve">Også tradisjonelle kinesiske porselensformer, som vaser, krukker med lokk, boller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penselholdere, dekorert med Transition dekor, ble også en del av de porselensproduktene som ble eksportert til Holland. Transition-porselenet var av bedre kvalitet enn det tradisjonelle Kraak-porselenet,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ble betraktet som luksusartikler i Europa, og spesielt når de var utført i europeiske former.</w:t>
      </w:r>
      <w:r w:rsidRPr="00092023">
        <w:rPr>
          <w:rFonts w:cs="Arial"/>
          <w:color w:val="2A2A2A"/>
          <w:sz w:val="32"/>
          <w:szCs w:val="32"/>
        </w:rPr>
        <w:br/>
        <w:t> </w:t>
      </w:r>
      <w:r w:rsidRPr="00092023">
        <w:rPr>
          <w:rFonts w:cs="Arial"/>
          <w:color w:val="2A2A2A"/>
          <w:sz w:val="32"/>
          <w:szCs w:val="32"/>
        </w:rPr>
        <w:br/>
      </w:r>
      <w:proofErr w:type="gramStart"/>
      <w:r w:rsidRPr="00092023">
        <w:rPr>
          <w:rFonts w:cs="Arial"/>
          <w:color w:val="2A2A2A"/>
          <w:sz w:val="32"/>
          <w:szCs w:val="32"/>
        </w:rPr>
        <w:t>For europeerne representerte de kinesiske dekorene noe eksotisk.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Dekorene med blomster, landskap, pagoder, drager m.m., ble en </w:t>
      </w:r>
      <w:bookmarkStart w:id="0" w:name="_GoBack"/>
      <w:r w:rsidRPr="00092023">
        <w:rPr>
          <w:rFonts w:cs="Arial"/>
          <w:color w:val="2A2A2A"/>
          <w:sz w:val="32"/>
          <w:szCs w:val="32"/>
        </w:rPr>
        <w:t xml:space="preserve">forløper for kineseriene som ble en viktig moteretning senere på 1600- </w:t>
      </w:r>
      <w:bookmarkEnd w:id="0"/>
      <w:proofErr w:type="gramStart"/>
      <w:r w:rsidRPr="00092023">
        <w:rPr>
          <w:rFonts w:cs="Arial"/>
          <w:color w:val="2A2A2A"/>
          <w:sz w:val="32"/>
          <w:szCs w:val="32"/>
        </w:rPr>
        <w:lastRenderedPageBreak/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1700-tallet. Dette influerte ikke bare på utvikling av kunst, interiørdekorasjoner, have-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parkanlegg, men også på litteratur og filosofi.</w:t>
      </w:r>
      <w:r w:rsidRPr="00092023">
        <w:rPr>
          <w:rFonts w:cs="Arial"/>
          <w:color w:val="2A2A2A"/>
          <w:sz w:val="32"/>
          <w:szCs w:val="32"/>
        </w:rPr>
        <w:br/>
        <w:t> </w:t>
      </w:r>
      <w:r w:rsidRPr="00092023">
        <w:rPr>
          <w:rFonts w:cs="Arial"/>
          <w:color w:val="2A2A2A"/>
          <w:sz w:val="32"/>
          <w:szCs w:val="32"/>
        </w:rPr>
        <w:br/>
        <w:t xml:space="preserve">Porselensproduksjonen under denne perioden, med sin frie artistiske stil, appellerte til den japanske smak. Mye av eksporten gikk derfor til Japan, </w:t>
      </w:r>
      <w:proofErr w:type="gramStart"/>
      <w:r w:rsidRPr="00092023">
        <w:rPr>
          <w:rFonts w:cs="Arial"/>
          <w:color w:val="2A2A2A"/>
          <w:sz w:val="32"/>
          <w:szCs w:val="32"/>
        </w:rPr>
        <w:t>og</w:t>
      </w:r>
      <w:proofErr w:type="gramEnd"/>
      <w:r w:rsidRPr="00092023">
        <w:rPr>
          <w:rFonts w:cs="Arial"/>
          <w:color w:val="2A2A2A"/>
          <w:sz w:val="32"/>
          <w:szCs w:val="32"/>
        </w:rPr>
        <w:t xml:space="preserve"> det ble utviklet en egen stil som preget dette porselenet. </w:t>
      </w:r>
      <w:proofErr w:type="gramStart"/>
      <w:r w:rsidRPr="00092023">
        <w:rPr>
          <w:rFonts w:cs="Arial"/>
          <w:color w:val="2A2A2A"/>
          <w:sz w:val="32"/>
          <w:szCs w:val="32"/>
        </w:rPr>
        <w:t>For eksempel ble det utviklet porselen som passet inn i japanske teseremonier.</w:t>
      </w:r>
      <w:proofErr w:type="gramEnd"/>
      <w:r w:rsidRPr="00092023">
        <w:rPr>
          <w:rFonts w:cs="Arial"/>
          <w:color w:val="2A2A2A"/>
          <w:sz w:val="32"/>
          <w:szCs w:val="32"/>
        </w:rPr>
        <w:t> </w:t>
      </w:r>
    </w:p>
    <w:p w:rsidR="00D068E8" w:rsidRPr="00092023" w:rsidRDefault="00D068E8">
      <w:pPr>
        <w:rPr>
          <w:rFonts w:cs="Arial"/>
          <w:sz w:val="32"/>
          <w:szCs w:val="32"/>
        </w:rPr>
      </w:pPr>
      <w:r w:rsidRPr="00092023">
        <w:rPr>
          <w:rFonts w:cs="Arial"/>
          <w:noProof/>
          <w:color w:val="8E8E8E"/>
          <w:sz w:val="32"/>
          <w:szCs w:val="32"/>
          <w:lang w:val="nb-NO"/>
        </w:rPr>
        <w:drawing>
          <wp:inline distT="0" distB="0" distL="0" distR="0" wp14:anchorId="1C8D2C92" wp14:editId="6EF39EF9">
            <wp:extent cx="3552825" cy="3552825"/>
            <wp:effectExtent l="0" t="0" r="9525" b="9525"/>
            <wp:docPr id="2" name="Picture 2" descr="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E8" w:rsidRPr="00092023" w:rsidRDefault="00D068E8">
      <w:pPr>
        <w:rPr>
          <w:rFonts w:cs="Arial"/>
          <w:color w:val="3F3F3F"/>
          <w:sz w:val="24"/>
          <w:szCs w:val="32"/>
        </w:rPr>
      </w:pPr>
      <w:r w:rsidRPr="00092023">
        <w:rPr>
          <w:rFonts w:cs="Arial"/>
          <w:color w:val="3F3F3F"/>
          <w:sz w:val="24"/>
          <w:szCs w:val="32"/>
        </w:rPr>
        <w:t xml:space="preserve">Fig. </w:t>
      </w:r>
      <w:proofErr w:type="gramStart"/>
      <w:r w:rsidRPr="00092023">
        <w:rPr>
          <w:rFonts w:cs="Arial"/>
          <w:color w:val="3F3F3F"/>
          <w:sz w:val="24"/>
          <w:szCs w:val="32"/>
        </w:rPr>
        <w:t>2  Skål</w:t>
      </w:r>
      <w:proofErr w:type="gramEnd"/>
      <w:r w:rsidRPr="00092023">
        <w:rPr>
          <w:rFonts w:cs="Arial"/>
          <w:color w:val="3F3F3F"/>
          <w:sz w:val="24"/>
          <w:szCs w:val="32"/>
        </w:rPr>
        <w:t xml:space="preserve"> i underglasurblå dekor, et typisk eksempel hvor både form og dekor er tilpasset japansk smak. Diameter 14 cm. Tianqi periode 1621-1627, Underglasurblått porselen for det japanske markedet under Transition,  blir kalt Ko-sometsuke, som betyr "Gammel blå og hvitt" . På grunn av motivet </w:t>
      </w:r>
      <w:proofErr w:type="gramStart"/>
      <w:r w:rsidRPr="00092023">
        <w:rPr>
          <w:rFonts w:cs="Arial"/>
          <w:color w:val="3F3F3F"/>
          <w:sz w:val="24"/>
          <w:szCs w:val="32"/>
        </w:rPr>
        <w:t>og</w:t>
      </w:r>
      <w:proofErr w:type="gramEnd"/>
      <w:r w:rsidRPr="00092023">
        <w:rPr>
          <w:rFonts w:cs="Arial"/>
          <w:color w:val="3F3F3F"/>
          <w:sz w:val="24"/>
          <w:szCs w:val="32"/>
        </w:rPr>
        <w:t xml:space="preserve"> tykkelsen/tyngden, som var vanlig på porselen under Transition, har mange europeiske samlere feilaktig tatt slike gjenstander for å være japanskprodusert. Slike kinesiske produkter </w:t>
      </w:r>
      <w:proofErr w:type="gramStart"/>
      <w:r w:rsidRPr="00092023">
        <w:rPr>
          <w:rFonts w:cs="Arial"/>
          <w:color w:val="3F3F3F"/>
          <w:sz w:val="24"/>
          <w:szCs w:val="32"/>
        </w:rPr>
        <w:t>fra</w:t>
      </w:r>
      <w:proofErr w:type="gramEnd"/>
      <w:r w:rsidRPr="00092023">
        <w:rPr>
          <w:rFonts w:cs="Arial"/>
          <w:color w:val="3F3F3F"/>
          <w:sz w:val="24"/>
          <w:szCs w:val="32"/>
        </w:rPr>
        <w:t xml:space="preserve"> Transition er høyt verdsatt blant mange japanske samlere.</w:t>
      </w:r>
    </w:p>
    <w:sectPr w:rsidR="00D068E8" w:rsidRPr="0009202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E8" w:rsidRDefault="00D068E8" w:rsidP="00D068E8">
      <w:pPr>
        <w:spacing w:after="0" w:line="240" w:lineRule="auto"/>
      </w:pPr>
      <w:r>
        <w:separator/>
      </w:r>
    </w:p>
  </w:endnote>
  <w:endnote w:type="continuationSeparator" w:id="0">
    <w:p w:rsidR="00D068E8" w:rsidRDefault="00D068E8" w:rsidP="00D0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742005"/>
      <w:docPartObj>
        <w:docPartGallery w:val="Page Numbers (Bottom of Page)"/>
        <w:docPartUnique/>
      </w:docPartObj>
    </w:sdtPr>
    <w:sdtContent>
      <w:p w:rsidR="00092023" w:rsidRDefault="0009202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2023">
          <w:rPr>
            <w:noProof/>
            <w:lang w:val="nb-NO"/>
          </w:rPr>
          <w:t>1</w:t>
        </w:r>
        <w:r>
          <w:fldChar w:fldCharType="end"/>
        </w:r>
      </w:p>
    </w:sdtContent>
  </w:sdt>
  <w:p w:rsidR="00D068E8" w:rsidRDefault="00D06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E8" w:rsidRDefault="00D068E8" w:rsidP="00D068E8">
      <w:pPr>
        <w:spacing w:after="0" w:line="240" w:lineRule="auto"/>
      </w:pPr>
      <w:r>
        <w:separator/>
      </w:r>
    </w:p>
  </w:footnote>
  <w:footnote w:type="continuationSeparator" w:id="0">
    <w:p w:rsidR="00D068E8" w:rsidRDefault="00D068E8" w:rsidP="00D0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E8"/>
    <w:rsid w:val="00092023"/>
    <w:rsid w:val="003A7257"/>
    <w:rsid w:val="00D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E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E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E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E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68E5DE9B.dotm</Template>
  <TotalTime>0</TotalTime>
  <Pages>5</Pages>
  <Words>1036</Words>
  <Characters>5494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Karin Håbu</dc:creator>
  <cp:lastModifiedBy>Anne Karin Håbu</cp:lastModifiedBy>
  <cp:revision>2</cp:revision>
  <dcterms:created xsi:type="dcterms:W3CDTF">2017-12-12T10:31:00Z</dcterms:created>
  <dcterms:modified xsi:type="dcterms:W3CDTF">2017-12-12T10:31:00Z</dcterms:modified>
</cp:coreProperties>
</file>