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4" w:rsidRPr="00BD0E3B" w:rsidRDefault="0069354A" w:rsidP="005F34BF">
      <w:pPr>
        <w:pStyle w:val="Overskrift1"/>
        <w:ind w:left="0"/>
        <w:rPr>
          <w:color w:val="004A82"/>
          <w:sz w:val="32"/>
          <w:szCs w:val="32"/>
        </w:rPr>
      </w:pPr>
      <w:r w:rsidRPr="00BD0E3B">
        <w:rPr>
          <w:color w:val="004A82"/>
          <w:sz w:val="32"/>
          <w:szCs w:val="32"/>
        </w:rPr>
        <w:t xml:space="preserve">Porselensproduksjon under </w:t>
      </w:r>
      <w:r w:rsidR="00746130">
        <w:rPr>
          <w:color w:val="004A82"/>
          <w:sz w:val="32"/>
          <w:szCs w:val="32"/>
        </w:rPr>
        <w:t>Keiser Yo</w:t>
      </w:r>
      <w:r w:rsidR="002C18E4" w:rsidRPr="00BD0E3B">
        <w:rPr>
          <w:color w:val="004A82"/>
          <w:sz w:val="32"/>
          <w:szCs w:val="32"/>
        </w:rPr>
        <w:t>ng</w:t>
      </w:r>
      <w:r w:rsidR="004F7EFD" w:rsidRPr="00BD0E3B">
        <w:rPr>
          <w:color w:val="004A82"/>
          <w:sz w:val="32"/>
          <w:szCs w:val="32"/>
        </w:rPr>
        <w:t>z</w:t>
      </w:r>
      <w:r w:rsidR="002C18E4" w:rsidRPr="00BD0E3B">
        <w:rPr>
          <w:color w:val="004A82"/>
          <w:sz w:val="32"/>
          <w:szCs w:val="32"/>
        </w:rPr>
        <w:t>heng</w:t>
      </w:r>
      <w:r w:rsidR="00FE6147" w:rsidRPr="00BD0E3B">
        <w:rPr>
          <w:color w:val="004A82"/>
          <w:sz w:val="32"/>
          <w:szCs w:val="32"/>
        </w:rPr>
        <w:t xml:space="preserve"> (1723 – 1735)</w:t>
      </w:r>
    </w:p>
    <w:p w:rsidR="0069354A" w:rsidRPr="0069354A" w:rsidRDefault="0069354A" w:rsidP="0069354A">
      <w:r>
        <w:tab/>
      </w:r>
      <w:r>
        <w:tab/>
        <w:t xml:space="preserve"> </w:t>
      </w:r>
      <w:r w:rsidR="00C904C7">
        <w:t xml:space="preserve">           </w:t>
      </w:r>
      <w:r>
        <w:t>Av Carl Gamlem</w:t>
      </w:r>
    </w:p>
    <w:p w:rsidR="00FE6147" w:rsidRDefault="00FE6147" w:rsidP="00FE6147"/>
    <w:p w:rsidR="00FE6147" w:rsidRDefault="00FE6147" w:rsidP="00FE6147">
      <w:r>
        <w:t>Kangxi ble etterfulgt av en av sine sønner som fik</w:t>
      </w:r>
      <w:r w:rsidR="00746130">
        <w:t>k keisernavnet Yo</w:t>
      </w:r>
      <w:r w:rsidR="004F7EFD">
        <w:t>ngz</w:t>
      </w:r>
      <w:r>
        <w:t>heng. I likhet med sin far var han spesielt interessert i fremstilling av porselen av høg kvalitet. Han samarbeidet tett med den kunstneriske leder av det keiserlige ovnskompleks i Jingdezhen. De tekniske muligheter</w:t>
      </w:r>
      <w:r w:rsidR="006C7D45">
        <w:t xml:space="preserve"> </w:t>
      </w:r>
      <w:r w:rsidR="0069354A">
        <w:t>for å fremstille kvalitetsporselen</w:t>
      </w:r>
      <w:r w:rsidR="006C7D45">
        <w:t xml:space="preserve"> </w:t>
      </w:r>
      <w:r w:rsidR="0069354A">
        <w:t>ble utnyttet til det ytterste</w:t>
      </w:r>
      <w:r>
        <w:t xml:space="preserve">. Utgangspunktet </w:t>
      </w:r>
      <w:r w:rsidR="0069354A">
        <w:t>for produksjon av porsel</w:t>
      </w:r>
      <w:r w:rsidR="004F7EFD">
        <w:t xml:space="preserve">en var spesielt </w:t>
      </w:r>
      <w:r w:rsidR="007A74BC">
        <w:t>godt</w:t>
      </w:r>
      <w:r w:rsidR="004F7EFD">
        <w:t xml:space="preserve"> under Yungz</w:t>
      </w:r>
      <w:r w:rsidR="0069354A">
        <w:t xml:space="preserve">heng. Dette fordi man kunne bygge videre på </w:t>
      </w:r>
      <w:r>
        <w:t xml:space="preserve">alt som inntil da var </w:t>
      </w:r>
      <w:r w:rsidR="007454C6">
        <w:t xml:space="preserve">kjent av produksjonsteknikker, og </w:t>
      </w:r>
      <w:r w:rsidR="00466132">
        <w:t xml:space="preserve">det </w:t>
      </w:r>
      <w:r w:rsidR="007454C6">
        <w:t xml:space="preserve">som </w:t>
      </w:r>
      <w:r w:rsidR="00466132">
        <w:t xml:space="preserve">så langt </w:t>
      </w:r>
      <w:r w:rsidR="007454C6">
        <w:t xml:space="preserve">var </w:t>
      </w:r>
      <w:r>
        <w:t>produsert av keramikk og porselen i Kina. Herunder kopierte man tro kopier av Sung</w:t>
      </w:r>
      <w:r w:rsidR="007A74BC">
        <w:t>-</w:t>
      </w:r>
      <w:r>
        <w:t xml:space="preserve"> og Ming</w:t>
      </w:r>
      <w:r w:rsidR="007A74BC">
        <w:t>-</w:t>
      </w:r>
      <w:r>
        <w:t>porselen, som ikke er lette å skille fra originalene.</w:t>
      </w:r>
    </w:p>
    <w:p w:rsidR="007454C6" w:rsidRDefault="007454C6" w:rsidP="00FE6147"/>
    <w:p w:rsidR="007454C6" w:rsidRPr="002667E6" w:rsidRDefault="00E501B4" w:rsidP="00E501B4">
      <w:pPr>
        <w:ind w:left="60"/>
        <w:rPr>
          <w:szCs w:val="22"/>
        </w:rPr>
      </w:pPr>
      <w:r w:rsidRPr="002667E6">
        <w:rPr>
          <w:szCs w:val="22"/>
        </w:rPr>
        <w:tab/>
      </w:r>
      <w:r w:rsidR="007454C6" w:rsidRPr="002667E6">
        <w:rPr>
          <w:szCs w:val="22"/>
        </w:rPr>
        <w:t>Likeledes kopierte man høydepunktene av de mer avanserte og teknisk kompliserte monokrome</w:t>
      </w:r>
      <w:r w:rsidR="006C7D45" w:rsidRPr="002667E6">
        <w:rPr>
          <w:szCs w:val="22"/>
        </w:rPr>
        <w:t xml:space="preserve"> </w:t>
      </w:r>
      <w:r w:rsidR="007454C6" w:rsidRPr="002667E6">
        <w:rPr>
          <w:szCs w:val="22"/>
        </w:rPr>
        <w:t xml:space="preserve">glasurer under Kangxi, som </w:t>
      </w:r>
      <w:r w:rsidR="00560618" w:rsidRPr="002667E6">
        <w:rPr>
          <w:rFonts w:eastAsia="华文宋体"/>
          <w:szCs w:val="22"/>
        </w:rPr>
        <w:t>langyaohong</w:t>
      </w:r>
      <w:r w:rsidR="00560618" w:rsidRPr="002667E6">
        <w:rPr>
          <w:rFonts w:eastAsia="华文宋体"/>
          <w:szCs w:val="22"/>
        </w:rPr>
        <w:t>郎窑红</w:t>
      </w:r>
      <w:r w:rsidR="00560618" w:rsidRPr="002667E6">
        <w:rPr>
          <w:rFonts w:eastAsia="华文宋体"/>
          <w:szCs w:val="22"/>
        </w:rPr>
        <w:t xml:space="preserve"> (rødfarget glasur fra Lang-ovnen - også kalt </w:t>
      </w:r>
      <w:r w:rsidR="00560618" w:rsidRPr="002667E6">
        <w:rPr>
          <w:szCs w:val="22"/>
        </w:rPr>
        <w:t>okseblod</w:t>
      </w:r>
      <w:r w:rsidR="00560618" w:rsidRPr="002667E6">
        <w:rPr>
          <w:rFonts w:eastAsia="华文宋体"/>
          <w:szCs w:val="22"/>
        </w:rPr>
        <w:t>),</w:t>
      </w:r>
      <w:r w:rsidR="007454C6" w:rsidRPr="002667E6">
        <w:rPr>
          <w:szCs w:val="22"/>
        </w:rPr>
        <w:t xml:space="preserve"> </w:t>
      </w:r>
      <w:r w:rsidR="00560618" w:rsidRPr="002667E6">
        <w:rPr>
          <w:rFonts w:eastAsia="华文宋体"/>
          <w:szCs w:val="22"/>
        </w:rPr>
        <w:t>taohongpian</w:t>
      </w:r>
      <w:r w:rsidR="00560618" w:rsidRPr="002667E6">
        <w:rPr>
          <w:rFonts w:eastAsia="华文宋体"/>
          <w:szCs w:val="22"/>
        </w:rPr>
        <w:t>桃红片</w:t>
      </w:r>
      <w:r w:rsidR="00560618" w:rsidRPr="002667E6">
        <w:rPr>
          <w:rFonts w:eastAsia="华文宋体"/>
          <w:szCs w:val="22"/>
        </w:rPr>
        <w:t xml:space="preserve"> </w:t>
      </w:r>
      <w:r w:rsidR="007454C6" w:rsidRPr="002667E6">
        <w:rPr>
          <w:szCs w:val="22"/>
        </w:rPr>
        <w:t>(Peach Bloom</w:t>
      </w:r>
      <w:r w:rsidR="007A74BC" w:rsidRPr="002667E6">
        <w:rPr>
          <w:szCs w:val="22"/>
        </w:rPr>
        <w:t xml:space="preserve"> -</w:t>
      </w:r>
      <w:r w:rsidR="007454C6" w:rsidRPr="002667E6">
        <w:rPr>
          <w:szCs w:val="22"/>
        </w:rPr>
        <w:t xml:space="preserve"> ferskenfarget</w:t>
      </w:r>
      <w:r w:rsidR="00482862" w:rsidRPr="002667E6">
        <w:rPr>
          <w:szCs w:val="22"/>
        </w:rPr>
        <w:t xml:space="preserve">), </w:t>
      </w:r>
      <w:r w:rsidR="007454C6" w:rsidRPr="002667E6">
        <w:rPr>
          <w:szCs w:val="22"/>
        </w:rPr>
        <w:t>Robins egg</w:t>
      </w:r>
      <w:r w:rsidR="0071521D" w:rsidRPr="002667E6">
        <w:rPr>
          <w:szCs w:val="22"/>
        </w:rPr>
        <w:t xml:space="preserve">, </w:t>
      </w:r>
      <w:r w:rsidR="002667E6" w:rsidRPr="002667E6">
        <w:rPr>
          <w:rFonts w:eastAsia="华文宋体"/>
          <w:szCs w:val="22"/>
        </w:rPr>
        <w:t>yuebai</w:t>
      </w:r>
      <w:r w:rsidR="002667E6" w:rsidRPr="002667E6">
        <w:rPr>
          <w:rFonts w:eastAsia="华文宋体"/>
          <w:szCs w:val="22"/>
        </w:rPr>
        <w:t>月白</w:t>
      </w:r>
      <w:r w:rsidR="002667E6" w:rsidRPr="002667E6">
        <w:rPr>
          <w:rFonts w:eastAsia="华文宋体"/>
          <w:szCs w:val="22"/>
        </w:rPr>
        <w:t xml:space="preserve"> </w:t>
      </w:r>
      <w:r w:rsidR="0071521D" w:rsidRPr="002667E6">
        <w:rPr>
          <w:szCs w:val="22"/>
        </w:rPr>
        <w:t>(Clair de Lune - måneskinn)</w:t>
      </w:r>
      <w:r w:rsidR="0069354A" w:rsidRPr="002667E6">
        <w:rPr>
          <w:szCs w:val="22"/>
        </w:rPr>
        <w:t>.</w:t>
      </w:r>
      <w:r w:rsidR="006C7D45" w:rsidRPr="002667E6">
        <w:rPr>
          <w:szCs w:val="22"/>
        </w:rPr>
        <w:t xml:space="preserve"> </w:t>
      </w:r>
      <w:r w:rsidR="0086370E" w:rsidRPr="002667E6">
        <w:rPr>
          <w:szCs w:val="22"/>
        </w:rPr>
        <w:t>Spesielt sistnevnte nå</w:t>
      </w:r>
      <w:r w:rsidR="004F7EFD" w:rsidRPr="002667E6">
        <w:rPr>
          <w:szCs w:val="22"/>
        </w:rPr>
        <w:t>dde sitt høydepunkt under Yungz</w:t>
      </w:r>
      <w:r w:rsidR="0086370E" w:rsidRPr="002667E6">
        <w:rPr>
          <w:szCs w:val="22"/>
        </w:rPr>
        <w:t>heng.</w:t>
      </w:r>
    </w:p>
    <w:p w:rsidR="00466132" w:rsidRPr="002667E6" w:rsidRDefault="00466132" w:rsidP="00AF4AB5">
      <w:pPr>
        <w:pStyle w:val="Overskrift9"/>
        <w:ind w:left="0"/>
        <w:rPr>
          <w:b/>
          <w:color w:val="800080"/>
          <w:szCs w:val="22"/>
          <w:u w:val="none"/>
        </w:rPr>
      </w:pPr>
    </w:p>
    <w:p w:rsidR="002C3971" w:rsidRDefault="00466132" w:rsidP="002C3971">
      <w:r>
        <w:t>Famille rose</w:t>
      </w:r>
      <w:r w:rsidR="007A74BC">
        <w:t>-</w:t>
      </w:r>
      <w:r>
        <w:t>porselenet</w:t>
      </w:r>
      <w:r w:rsidR="007A74BC">
        <w:t>,</w:t>
      </w:r>
      <w:r>
        <w:t xml:space="preserve"> som </w:t>
      </w:r>
      <w:r w:rsidR="0086370E">
        <w:t xml:space="preserve">også </w:t>
      </w:r>
      <w:r>
        <w:t>ble skapt i Kangxi</w:t>
      </w:r>
      <w:r w:rsidR="007A74BC">
        <w:t>-</w:t>
      </w:r>
      <w:r>
        <w:t>perioden, ble videreutviklet under Keiser Yong</w:t>
      </w:r>
      <w:r w:rsidR="004F7EFD">
        <w:t>z</w:t>
      </w:r>
      <w:r>
        <w:t>heng</w:t>
      </w:r>
      <w:r w:rsidR="0069354A">
        <w:t>,</w:t>
      </w:r>
      <w:r>
        <w:t xml:space="preserve"> som viste personlig interesse for dette porselenet. De fineste og mest utsøkte Famille rose</w:t>
      </w:r>
      <w:r w:rsidR="007A74BC">
        <w:t>-</w:t>
      </w:r>
      <w:r>
        <w:t>gjenstander tilhører alle Yong</w:t>
      </w:r>
      <w:r w:rsidR="004F7EFD">
        <w:t>z</w:t>
      </w:r>
      <w:r>
        <w:t>heng</w:t>
      </w:r>
      <w:r w:rsidR="007A74BC">
        <w:t>-</w:t>
      </w:r>
      <w:r>
        <w:t>periodens slutt</w:t>
      </w:r>
      <w:r w:rsidR="007A74BC">
        <w:t>, og s</w:t>
      </w:r>
      <w:r w:rsidR="003F5973">
        <w:t>pesielt det som ble produsert til keiserens hoff. Dekoren her er normalt preget av sparsom emaljedekor med blomster og fugler over en ren hvit</w:t>
      </w:r>
      <w:r w:rsidR="007A74BC">
        <w:t>,</w:t>
      </w:r>
      <w:r w:rsidR="003F5973">
        <w:t xml:space="preserve"> teknisk perfekt glasur.</w:t>
      </w:r>
      <w:r w:rsidR="002C4937">
        <w:t xml:space="preserve"> Famille </w:t>
      </w:r>
      <w:r w:rsidR="007A74BC">
        <w:t>r</w:t>
      </w:r>
      <w:r w:rsidR="002C4937">
        <w:t>ose</w:t>
      </w:r>
      <w:r w:rsidR="007A74BC">
        <w:t>-</w:t>
      </w:r>
      <w:r w:rsidR="002C4937">
        <w:t xml:space="preserve">porselenet til det keiserlige hoff ble forøvrig malt i det keiserlige emaljeverkstedet i den Forbudte by i Peking. </w:t>
      </w:r>
    </w:p>
    <w:p w:rsidR="002C3971" w:rsidRPr="002C3971" w:rsidRDefault="002C3971" w:rsidP="002C3971"/>
    <w:p w:rsidR="00EB789F" w:rsidRDefault="00816BE1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 xml:space="preserve">Utviklingen av </w:t>
      </w:r>
      <w:r>
        <w:t>Famille rose</w:t>
      </w:r>
      <w:r w:rsidR="007A74BC">
        <w:t>-</w:t>
      </w:r>
      <w:r>
        <w:t xml:space="preserve">dekoren må også sees i sammenheng med at det </w:t>
      </w:r>
      <w:r>
        <w:rPr>
          <w:sz w:val="22"/>
          <w:szCs w:val="22"/>
        </w:rPr>
        <w:t>i</w:t>
      </w:r>
      <w:r w:rsidR="00746130">
        <w:rPr>
          <w:sz w:val="22"/>
          <w:szCs w:val="22"/>
        </w:rPr>
        <w:t xml:space="preserve"> tidsrommet 1720 </w:t>
      </w:r>
      <w:r w:rsidR="007A74BC">
        <w:rPr>
          <w:sz w:val="22"/>
          <w:szCs w:val="22"/>
        </w:rPr>
        <w:t>-</w:t>
      </w:r>
      <w:r w:rsidR="00EB789F">
        <w:rPr>
          <w:sz w:val="22"/>
          <w:szCs w:val="22"/>
        </w:rPr>
        <w:t xml:space="preserve"> 1723</w:t>
      </w:r>
      <w:r>
        <w:rPr>
          <w:sz w:val="22"/>
          <w:szCs w:val="22"/>
        </w:rPr>
        <w:t xml:space="preserve"> skjedde </w:t>
      </w:r>
      <w:r w:rsidR="00EB789F">
        <w:rPr>
          <w:sz w:val="22"/>
          <w:szCs w:val="22"/>
        </w:rPr>
        <w:t>en radikal endring av emaljefargene</w:t>
      </w:r>
      <w:r w:rsidR="007A74BC">
        <w:rPr>
          <w:sz w:val="22"/>
          <w:szCs w:val="22"/>
        </w:rPr>
        <w:t xml:space="preserve">, </w:t>
      </w:r>
      <w:r w:rsidR="002C3971">
        <w:rPr>
          <w:sz w:val="22"/>
          <w:szCs w:val="22"/>
        </w:rPr>
        <w:t>som kom til å prege porselensproduksjonen under hele1700</w:t>
      </w:r>
      <w:r w:rsidR="007A74BC">
        <w:rPr>
          <w:sz w:val="22"/>
          <w:szCs w:val="22"/>
        </w:rPr>
        <w:t>-</w:t>
      </w:r>
      <w:r w:rsidR="002C3971">
        <w:rPr>
          <w:sz w:val="22"/>
          <w:szCs w:val="22"/>
        </w:rPr>
        <w:t>tallet</w:t>
      </w:r>
      <w:r w:rsidR="00EB789F">
        <w:rPr>
          <w:sz w:val="22"/>
          <w:szCs w:val="22"/>
        </w:rPr>
        <w:t>. De gamle transparente emaljefargene</w:t>
      </w:r>
      <w:r>
        <w:rPr>
          <w:sz w:val="22"/>
          <w:szCs w:val="22"/>
        </w:rPr>
        <w:t>,</w:t>
      </w:r>
      <w:r w:rsidR="00EB789F">
        <w:rPr>
          <w:sz w:val="22"/>
          <w:szCs w:val="22"/>
        </w:rPr>
        <w:t xml:space="preserve"> som </w:t>
      </w:r>
      <w:r>
        <w:rPr>
          <w:sz w:val="22"/>
          <w:szCs w:val="22"/>
        </w:rPr>
        <w:t xml:space="preserve">blant annet </w:t>
      </w:r>
      <w:r w:rsidR="00EB789F">
        <w:rPr>
          <w:sz w:val="22"/>
          <w:szCs w:val="22"/>
        </w:rPr>
        <w:t>var vanlig i Kangxi</w:t>
      </w:r>
      <w:r w:rsidR="007A74BC">
        <w:rPr>
          <w:sz w:val="22"/>
          <w:szCs w:val="22"/>
        </w:rPr>
        <w:t>-</w:t>
      </w:r>
      <w:r w:rsidR="00EB789F">
        <w:rPr>
          <w:sz w:val="22"/>
          <w:szCs w:val="22"/>
        </w:rPr>
        <w:t>perioden</w:t>
      </w:r>
      <w:r w:rsidR="007A74BC">
        <w:rPr>
          <w:sz w:val="22"/>
          <w:szCs w:val="22"/>
        </w:rPr>
        <w:t xml:space="preserve"> -</w:t>
      </w:r>
      <w:r w:rsidR="00F615CF">
        <w:rPr>
          <w:sz w:val="22"/>
          <w:szCs w:val="22"/>
        </w:rPr>
        <w:t xml:space="preserve"> herunder på Famille </w:t>
      </w:r>
      <w:r w:rsidR="007A74BC">
        <w:rPr>
          <w:sz w:val="22"/>
          <w:szCs w:val="22"/>
        </w:rPr>
        <w:t>v</w:t>
      </w:r>
      <w:r w:rsidR="00F615CF">
        <w:rPr>
          <w:sz w:val="22"/>
          <w:szCs w:val="22"/>
        </w:rPr>
        <w:t>erte</w:t>
      </w:r>
      <w:r w:rsidR="007A74BC">
        <w:rPr>
          <w:sz w:val="22"/>
          <w:szCs w:val="22"/>
        </w:rPr>
        <w:t>-</w:t>
      </w:r>
      <w:r w:rsidR="00F615CF">
        <w:rPr>
          <w:sz w:val="22"/>
          <w:szCs w:val="22"/>
        </w:rPr>
        <w:t>dekor</w:t>
      </w:r>
      <w:r w:rsidR="00EB789F">
        <w:rPr>
          <w:sz w:val="22"/>
          <w:szCs w:val="22"/>
        </w:rPr>
        <w:t>, ble nå erstattet av</w:t>
      </w:r>
      <w:r w:rsidR="006C7D45">
        <w:rPr>
          <w:sz w:val="22"/>
          <w:szCs w:val="22"/>
        </w:rPr>
        <w:t xml:space="preserve"> </w:t>
      </w:r>
      <w:r w:rsidR="00EB789F">
        <w:rPr>
          <w:sz w:val="22"/>
          <w:szCs w:val="22"/>
        </w:rPr>
        <w:t>tettere og mer opake (ugjennomsiktige) emaljepaletter. Man kan trekke en parallell fra malingskunsten</w:t>
      </w:r>
      <w:r w:rsidR="0069354A">
        <w:rPr>
          <w:sz w:val="22"/>
          <w:szCs w:val="22"/>
        </w:rPr>
        <w:t>,</w:t>
      </w:r>
      <w:r w:rsidR="00EB789F">
        <w:rPr>
          <w:sz w:val="22"/>
          <w:szCs w:val="22"/>
        </w:rPr>
        <w:t xml:space="preserve"> ved å hevde at man gikk fra en ”vannfargestil”(akvarell) til mer ”oljefargestil”.</w:t>
      </w:r>
    </w:p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>Dette var også en endring/utviklingsprosess fra en emaljepalett</w:t>
      </w:r>
      <w:r w:rsidR="007A74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som </w:t>
      </w:r>
      <w:r w:rsidR="00BE37FC">
        <w:rPr>
          <w:sz w:val="22"/>
          <w:szCs w:val="22"/>
        </w:rPr>
        <w:t>helt tilbake til Ming</w:t>
      </w:r>
      <w:r w:rsidR="007A74BC">
        <w:rPr>
          <w:sz w:val="22"/>
          <w:szCs w:val="22"/>
        </w:rPr>
        <w:t>-</w:t>
      </w:r>
      <w:r w:rsidR="00BE37FC">
        <w:rPr>
          <w:sz w:val="22"/>
          <w:szCs w:val="22"/>
        </w:rPr>
        <w:t xml:space="preserve">tiden </w:t>
      </w:r>
      <w:r>
        <w:rPr>
          <w:sz w:val="22"/>
          <w:szCs w:val="22"/>
        </w:rPr>
        <w:t>var dominert av grønt</w:t>
      </w:r>
      <w:r w:rsidR="0069354A">
        <w:rPr>
          <w:sz w:val="22"/>
          <w:szCs w:val="22"/>
        </w:rPr>
        <w:t>,</w:t>
      </w:r>
      <w:r>
        <w:rPr>
          <w:sz w:val="22"/>
          <w:szCs w:val="22"/>
        </w:rPr>
        <w:t xml:space="preserve"> til en palett dominert av ruby rød og rosa. Famille </w:t>
      </w:r>
      <w:r w:rsidR="007A74BC">
        <w:rPr>
          <w:sz w:val="22"/>
          <w:szCs w:val="22"/>
        </w:rPr>
        <w:t>r</w:t>
      </w:r>
      <w:r>
        <w:rPr>
          <w:sz w:val="22"/>
          <w:szCs w:val="22"/>
        </w:rPr>
        <w:t>ose</w:t>
      </w:r>
      <w:r w:rsidR="007A74BC">
        <w:rPr>
          <w:sz w:val="22"/>
          <w:szCs w:val="22"/>
        </w:rPr>
        <w:t>-</w:t>
      </w:r>
      <w:r>
        <w:rPr>
          <w:sz w:val="22"/>
          <w:szCs w:val="22"/>
        </w:rPr>
        <w:t>stil ble nå dominerende.</w:t>
      </w:r>
    </w:p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>Denne utviklingen involverte introduksjonen av tre nye overglasur emaljefarger. Opake hvit, opake gul og transparent ruby rød.</w:t>
      </w:r>
    </w:p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EB789F" w:rsidRDefault="00EB789F" w:rsidP="00EB789F">
      <w:r>
        <w:t>Spesielt den hvite emaljefarge</w:t>
      </w:r>
      <w:r w:rsidR="007A74BC">
        <w:t>n</w:t>
      </w:r>
      <w:r>
        <w:t xml:space="preserve"> fikk stor betydning. Denne ble benyttet til å blande med andre farger – blått, gult, grønt. Dermed fikk man frem en me</w:t>
      </w:r>
      <w:r w:rsidR="0069354A">
        <w:t>ngde nye nyanser. Man kunne nå</w:t>
      </w:r>
      <w:r>
        <w:t xml:space="preserve"> få frem forandringer og sjatteringer i fargen som ikke tidligere </w:t>
      </w:r>
      <w:r w:rsidR="007A74BC">
        <w:t>hadde vært</w:t>
      </w:r>
      <w:r>
        <w:t xml:space="preserve"> mulig. </w:t>
      </w:r>
      <w:r w:rsidR="007A74BC">
        <w:t>For eksempel</w:t>
      </w:r>
      <w:r>
        <w:t xml:space="preserve"> kunne den rosa fargen varieres fra den lyseste til den mørkeste rubinrøde farge. Man kunne også gjøre fargene tykkere for å få frem en relieffaktig dekor.</w:t>
      </w:r>
    </w:p>
    <w:p w:rsidR="00EB789F" w:rsidRDefault="00EB789F" w:rsidP="00EB789F"/>
    <w:p w:rsidR="00EB789F" w:rsidRDefault="00EB789F" w:rsidP="00EB789F">
      <w:pPr>
        <w:pStyle w:val="Kule1"/>
        <w:widowControl/>
        <w:ind w:left="60" w:firstLine="0"/>
        <w:rPr>
          <w:sz w:val="22"/>
          <w:szCs w:val="22"/>
        </w:rPr>
      </w:pPr>
      <w:r w:rsidRPr="001D2936">
        <w:rPr>
          <w:sz w:val="22"/>
          <w:szCs w:val="22"/>
        </w:rPr>
        <w:t>Den nye teknikken tillot en større detaljrikd</w:t>
      </w:r>
      <w:r w:rsidR="00CF492C">
        <w:rPr>
          <w:sz w:val="22"/>
          <w:szCs w:val="22"/>
        </w:rPr>
        <w:t>om i ”maleriet”. Man kunne nem</w:t>
      </w:r>
      <w:r w:rsidRPr="001D2936">
        <w:rPr>
          <w:sz w:val="22"/>
          <w:szCs w:val="22"/>
        </w:rPr>
        <w:t xml:space="preserve">lig legge til detaljer i ulike kontraster i kulørene, uten at fargene rant eller fløt i hverandre. Denne nye malingsstilen passet spesielt bra til figurmotiv. </w:t>
      </w:r>
    </w:p>
    <w:p w:rsidR="00746130" w:rsidRDefault="00746130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F16EAC" w:rsidRDefault="00746130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 xml:space="preserve">Porselensgjenstander i Famille Rose dekor som ble produsert til det kinesiske marked, og spesielt til det keiserlig hoff og andre høytstående kinesere, var preget av sofistikerte motiver med mye luft rundt dekoren. </w:t>
      </w:r>
      <w:r w:rsidR="00F16EAC">
        <w:rPr>
          <w:sz w:val="22"/>
          <w:szCs w:val="22"/>
        </w:rPr>
        <w:t xml:space="preserve">Porselenet og glasuren var av spesiell høy kvalitet, noe som skyldes at man nå kunne bygge videre på all tidligere erfaring og kompetanse i utviklingen av porselenet. Dette gjaldt både renselsesprosesser av porselensleiren, keramikernes kompetanse i utforming og dekorering, og ikke </w:t>
      </w:r>
      <w:r w:rsidR="00F16EAC">
        <w:rPr>
          <w:sz w:val="22"/>
          <w:szCs w:val="22"/>
        </w:rPr>
        <w:lastRenderedPageBreak/>
        <w:t>minst de kompliserte brenningspros</w:t>
      </w:r>
      <w:r w:rsidR="00F77FF7">
        <w:rPr>
          <w:sz w:val="22"/>
          <w:szCs w:val="22"/>
        </w:rPr>
        <w:t>essene. Resultatet var et nærmest</w:t>
      </w:r>
      <w:r w:rsidR="00F16EAC">
        <w:rPr>
          <w:sz w:val="22"/>
          <w:szCs w:val="22"/>
        </w:rPr>
        <w:t xml:space="preserve"> fullkommen</w:t>
      </w:r>
      <w:r w:rsidR="00F77FF7">
        <w:rPr>
          <w:sz w:val="22"/>
          <w:szCs w:val="22"/>
        </w:rPr>
        <w:t>t</w:t>
      </w:r>
      <w:r w:rsidR="00F16EAC">
        <w:rPr>
          <w:sz w:val="22"/>
          <w:szCs w:val="22"/>
        </w:rPr>
        <w:t xml:space="preserve"> porselen uten produksjonsfeil. </w:t>
      </w:r>
    </w:p>
    <w:p w:rsidR="00F615CF" w:rsidRDefault="00F615CF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816BE1" w:rsidRDefault="002C3971" w:rsidP="00EB789F">
      <w:pPr>
        <w:pStyle w:val="Kule1"/>
        <w:widowControl/>
        <w:ind w:left="60" w:firstLine="0"/>
        <w:rPr>
          <w:sz w:val="22"/>
          <w:szCs w:val="22"/>
        </w:rPr>
      </w:pPr>
      <w:r w:rsidRPr="001D2936">
        <w:rPr>
          <w:sz w:val="22"/>
          <w:szCs w:val="22"/>
        </w:rPr>
        <w:t xml:space="preserve">Famille </w:t>
      </w:r>
      <w:r w:rsidR="007A74BC">
        <w:rPr>
          <w:sz w:val="22"/>
          <w:szCs w:val="22"/>
        </w:rPr>
        <w:t>r</w:t>
      </w:r>
      <w:r w:rsidRPr="001D2936">
        <w:rPr>
          <w:sz w:val="22"/>
          <w:szCs w:val="22"/>
        </w:rPr>
        <w:t>ose</w:t>
      </w:r>
      <w:r w:rsidR="007A74BC">
        <w:rPr>
          <w:sz w:val="22"/>
          <w:szCs w:val="22"/>
        </w:rPr>
        <w:t>-</w:t>
      </w:r>
      <w:r>
        <w:rPr>
          <w:sz w:val="22"/>
          <w:szCs w:val="22"/>
        </w:rPr>
        <w:t>porselenet ble fo</w:t>
      </w:r>
      <w:r w:rsidR="001245C8">
        <w:rPr>
          <w:sz w:val="22"/>
          <w:szCs w:val="22"/>
        </w:rPr>
        <w:t>rt populært i Europa, og det var</w:t>
      </w:r>
      <w:r>
        <w:rPr>
          <w:sz w:val="22"/>
          <w:szCs w:val="22"/>
        </w:rPr>
        <w:t xml:space="preserve"> både en stor produksjon og eksport for dette markedet. Kvaliteten på dette eksportporselenet var generelt av lavere kvalitet enn det som ble produs</w:t>
      </w:r>
      <w:r w:rsidR="002E071D">
        <w:rPr>
          <w:sz w:val="22"/>
          <w:szCs w:val="22"/>
        </w:rPr>
        <w:t xml:space="preserve">ert for det keiserlige hoff, </w:t>
      </w:r>
      <w:r w:rsidR="007A74BC">
        <w:rPr>
          <w:sz w:val="22"/>
          <w:szCs w:val="22"/>
        </w:rPr>
        <w:t xml:space="preserve">eller </w:t>
      </w:r>
      <w:r w:rsidR="002E071D">
        <w:rPr>
          <w:sz w:val="22"/>
          <w:szCs w:val="22"/>
        </w:rPr>
        <w:t>til embetsmenn og andre velstående personer i det</w:t>
      </w:r>
      <w:r>
        <w:rPr>
          <w:sz w:val="22"/>
          <w:szCs w:val="22"/>
        </w:rPr>
        <w:t xml:space="preserve"> innenlandske kinesiske markedet.</w:t>
      </w:r>
      <w:r w:rsidR="00AF4AB5">
        <w:rPr>
          <w:sz w:val="22"/>
          <w:szCs w:val="22"/>
        </w:rPr>
        <w:t xml:space="preserve"> Mesteparten av </w:t>
      </w:r>
      <w:r w:rsidR="002E071D">
        <w:rPr>
          <w:sz w:val="22"/>
          <w:szCs w:val="22"/>
        </w:rPr>
        <w:t>eksport</w:t>
      </w:r>
      <w:r w:rsidR="00AF4AB5">
        <w:rPr>
          <w:sz w:val="22"/>
          <w:szCs w:val="22"/>
        </w:rPr>
        <w:t>porselenet ble utført i europeiske former, og det var ikke uvanlig at også dekoren var europeisk inspirert.</w:t>
      </w:r>
      <w:r w:rsidR="006C7D45">
        <w:rPr>
          <w:sz w:val="22"/>
          <w:szCs w:val="22"/>
        </w:rPr>
        <w:t xml:space="preserve"> Herunder</w:t>
      </w:r>
      <w:r w:rsidR="0069354A">
        <w:rPr>
          <w:sz w:val="22"/>
          <w:szCs w:val="22"/>
        </w:rPr>
        <w:t xml:space="preserve"> ble det </w:t>
      </w:r>
      <w:r w:rsidR="007A74BC">
        <w:rPr>
          <w:sz w:val="22"/>
          <w:szCs w:val="22"/>
        </w:rPr>
        <w:t>i</w:t>
      </w:r>
      <w:r w:rsidR="0069354A">
        <w:rPr>
          <w:sz w:val="22"/>
          <w:szCs w:val="22"/>
        </w:rPr>
        <w:t xml:space="preserve"> denne perioden produsert relativt store mengder med våpenpors</w:t>
      </w:r>
      <w:r w:rsidR="002E071D">
        <w:rPr>
          <w:sz w:val="22"/>
          <w:szCs w:val="22"/>
        </w:rPr>
        <w:t>e</w:t>
      </w:r>
      <w:r w:rsidR="0069354A">
        <w:rPr>
          <w:sz w:val="22"/>
          <w:szCs w:val="22"/>
        </w:rPr>
        <w:t>len.</w:t>
      </w:r>
    </w:p>
    <w:p w:rsidR="00816BE1" w:rsidRDefault="00816BE1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2C3971" w:rsidRDefault="00816BE1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 xml:space="preserve">Flere mener at det er en sammenheng mellom våpenporselen og utviklingen av </w:t>
      </w:r>
      <w:r w:rsidRPr="001D2936">
        <w:rPr>
          <w:sz w:val="22"/>
          <w:szCs w:val="22"/>
        </w:rPr>
        <w:t xml:space="preserve">Famille </w:t>
      </w:r>
      <w:r w:rsidR="00D676EF">
        <w:rPr>
          <w:sz w:val="22"/>
          <w:szCs w:val="22"/>
        </w:rPr>
        <w:t>r</w:t>
      </w:r>
      <w:r w:rsidRPr="001D2936">
        <w:rPr>
          <w:sz w:val="22"/>
          <w:szCs w:val="22"/>
        </w:rPr>
        <w:t>ose</w:t>
      </w:r>
      <w:r w:rsidR="00D676EF">
        <w:rPr>
          <w:sz w:val="22"/>
          <w:szCs w:val="22"/>
        </w:rPr>
        <w:t>-</w:t>
      </w:r>
      <w:r>
        <w:rPr>
          <w:sz w:val="22"/>
          <w:szCs w:val="22"/>
        </w:rPr>
        <w:t>dekoren og den nye opake paletten. Dette for å imøtekomme de mange bestillinger av våpenporselen, med alle sine forskjellige farger.</w:t>
      </w:r>
      <w:r w:rsidR="00F77FF7">
        <w:rPr>
          <w:sz w:val="22"/>
          <w:szCs w:val="22"/>
        </w:rPr>
        <w:t xml:space="preserve"> </w:t>
      </w:r>
    </w:p>
    <w:p w:rsidR="00816BE1" w:rsidRDefault="00816BE1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816BE1" w:rsidRDefault="00816BE1" w:rsidP="00EB789F">
      <w:pPr>
        <w:pStyle w:val="Kule1"/>
        <w:widowControl/>
        <w:ind w:left="60" w:firstLine="0"/>
      </w:pPr>
      <w:r>
        <w:rPr>
          <w:sz w:val="22"/>
          <w:szCs w:val="22"/>
        </w:rPr>
        <w:t xml:space="preserve">Det var under </w:t>
      </w:r>
      <w:r w:rsidR="00D13501">
        <w:rPr>
          <w:sz w:val="22"/>
          <w:szCs w:val="22"/>
        </w:rPr>
        <w:t xml:space="preserve">slutten av </w:t>
      </w:r>
      <w:r>
        <w:t>Yong</w:t>
      </w:r>
      <w:r w:rsidR="004F7EFD">
        <w:t>z</w:t>
      </w:r>
      <w:r>
        <w:t>heng</w:t>
      </w:r>
      <w:r w:rsidR="00D676EF">
        <w:t>s</w:t>
      </w:r>
      <w:r w:rsidR="00B43D66">
        <w:t xml:space="preserve"> </w:t>
      </w:r>
      <w:r w:rsidR="00D13501">
        <w:t xml:space="preserve">regjeringstid (rundt 1730), </w:t>
      </w:r>
      <w:r>
        <w:t xml:space="preserve">at det lykkes å fremstille en tegnet tusjdekorasjon, som tålte brenning. </w:t>
      </w:r>
      <w:r w:rsidR="00F615CF">
        <w:t>De</w:t>
      </w:r>
      <w:r w:rsidR="00D13501">
        <w:t>n</w:t>
      </w:r>
      <w:r w:rsidR="00F615CF">
        <w:t xml:space="preserve"> såkalte Zepia</w:t>
      </w:r>
      <w:r w:rsidR="00D676EF">
        <w:t>-</w:t>
      </w:r>
      <w:r w:rsidR="00D13501">
        <w:t>dekoren,</w:t>
      </w:r>
      <w:r w:rsidR="00F615CF">
        <w:t xml:space="preserve"> eller </w:t>
      </w:r>
      <w:r w:rsidR="00D13501">
        <w:t>Grisa</w:t>
      </w:r>
      <w:r w:rsidR="00D676EF">
        <w:t>i</w:t>
      </w:r>
      <w:r w:rsidR="00D13501">
        <w:t>lle, som det også kalles. Tusj</w:t>
      </w:r>
      <w:r w:rsidR="00D676EF">
        <w:t>-</w:t>
      </w:r>
      <w:r w:rsidR="00D13501">
        <w:t xml:space="preserve">dekoren ble ofte kombinert med gullforgylling og var som regel spesielt godt malt. </w:t>
      </w:r>
      <w:r>
        <w:t>Man fant denne dekorasjonen velegnet til figurmotiver, og den ble blant annet benyttet til det såkalte Jesuitt</w:t>
      </w:r>
      <w:r w:rsidR="00D676EF">
        <w:t>-</w:t>
      </w:r>
      <w:r>
        <w:t>porselenet, som ble eksportert til Europa</w:t>
      </w:r>
      <w:r w:rsidR="00D676EF">
        <w:t xml:space="preserve"> og </w:t>
      </w:r>
      <w:r w:rsidR="00D13501">
        <w:t>spesielt til Frankrike.</w:t>
      </w:r>
    </w:p>
    <w:p w:rsidR="00A0077E" w:rsidRDefault="00A0077E" w:rsidP="00EB789F">
      <w:pPr>
        <w:pStyle w:val="Kule1"/>
        <w:widowControl/>
        <w:ind w:left="60" w:firstLine="0"/>
      </w:pPr>
    </w:p>
    <w:p w:rsidR="00A0077E" w:rsidRDefault="00A0077E" w:rsidP="00EB789F">
      <w:pPr>
        <w:pStyle w:val="Kule1"/>
        <w:widowControl/>
        <w:ind w:left="60" w:firstLine="0"/>
        <w:rPr>
          <w:sz w:val="22"/>
          <w:szCs w:val="22"/>
        </w:rPr>
      </w:pPr>
      <w:r>
        <w:t>Det såkalte "egg</w:t>
      </w:r>
      <w:r w:rsidR="00D676EF">
        <w:t>e</w:t>
      </w:r>
      <w:r>
        <w:t>skall"</w:t>
      </w:r>
      <w:r w:rsidR="00D676EF">
        <w:t>-</w:t>
      </w:r>
      <w:r>
        <w:t xml:space="preserve">porselenet ble også </w:t>
      </w:r>
      <w:r w:rsidR="004F7EFD">
        <w:t>utviklet under slutten av Yongz</w:t>
      </w:r>
      <w:r>
        <w:t>heng</w:t>
      </w:r>
      <w:r w:rsidR="00D676EF">
        <w:t>s</w:t>
      </w:r>
      <w:r>
        <w:t xml:space="preserve"> regjeringstid og i begynnelsen av Qianlong</w:t>
      </w:r>
      <w:r w:rsidR="005E4C31">
        <w:t xml:space="preserve">. Dette tynne porselenet ble som oftest dekorert </w:t>
      </w:r>
      <w:r w:rsidR="00D676EF">
        <w:t xml:space="preserve">i </w:t>
      </w:r>
      <w:r w:rsidR="005E4C31" w:rsidRPr="001D2936">
        <w:rPr>
          <w:sz w:val="22"/>
          <w:szCs w:val="22"/>
        </w:rPr>
        <w:t xml:space="preserve">Famille </w:t>
      </w:r>
      <w:r w:rsidR="00D676EF">
        <w:rPr>
          <w:sz w:val="22"/>
          <w:szCs w:val="22"/>
        </w:rPr>
        <w:t>r</w:t>
      </w:r>
      <w:r w:rsidR="005E4C31" w:rsidRPr="001D2936">
        <w:rPr>
          <w:sz w:val="22"/>
          <w:szCs w:val="22"/>
        </w:rPr>
        <w:t>ose</w:t>
      </w:r>
      <w:r w:rsidR="00D676EF">
        <w:rPr>
          <w:sz w:val="22"/>
          <w:szCs w:val="22"/>
        </w:rPr>
        <w:t>.</w:t>
      </w:r>
      <w:r w:rsidR="004F7EFD">
        <w:rPr>
          <w:sz w:val="22"/>
          <w:szCs w:val="22"/>
        </w:rPr>
        <w:t xml:space="preserve"> T</w:t>
      </w:r>
      <w:r w:rsidR="005E4C31">
        <w:rPr>
          <w:sz w:val="22"/>
          <w:szCs w:val="22"/>
        </w:rPr>
        <w:t xml:space="preserve">ynne skåler </w:t>
      </w:r>
      <w:r w:rsidR="004F7EFD">
        <w:rPr>
          <w:sz w:val="22"/>
          <w:szCs w:val="22"/>
        </w:rPr>
        <w:t xml:space="preserve">til tekopper </w:t>
      </w:r>
      <w:r w:rsidR="005E4C31">
        <w:rPr>
          <w:sz w:val="22"/>
          <w:szCs w:val="22"/>
        </w:rPr>
        <w:t>og tallerkene</w:t>
      </w:r>
      <w:r w:rsidR="004F7EFD">
        <w:rPr>
          <w:sz w:val="22"/>
          <w:szCs w:val="22"/>
        </w:rPr>
        <w:t>r ble ofte dekket på baksiden med</w:t>
      </w:r>
      <w:r w:rsidR="005E4C31">
        <w:rPr>
          <w:sz w:val="22"/>
          <w:szCs w:val="22"/>
        </w:rPr>
        <w:t xml:space="preserve"> en rødrosa emaljefarge</w:t>
      </w:r>
      <w:r w:rsidR="00D676EF">
        <w:rPr>
          <w:sz w:val="22"/>
          <w:szCs w:val="22"/>
        </w:rPr>
        <w:t>, v</w:t>
      </w:r>
      <w:r w:rsidR="004F7EFD">
        <w:rPr>
          <w:sz w:val="22"/>
          <w:szCs w:val="22"/>
        </w:rPr>
        <w:t xml:space="preserve">isstnok for at porselenet ikke skulle være helt transparent. </w:t>
      </w:r>
      <w:r w:rsidR="005E4C31">
        <w:rPr>
          <w:sz w:val="22"/>
          <w:szCs w:val="22"/>
        </w:rPr>
        <w:t>Denne dekoren kalles "</w:t>
      </w:r>
      <w:r w:rsidR="00E15F95">
        <w:rPr>
          <w:sz w:val="22"/>
          <w:szCs w:val="22"/>
        </w:rPr>
        <w:t>ruby</w:t>
      </w:r>
      <w:r w:rsidR="005E4C31">
        <w:rPr>
          <w:sz w:val="22"/>
          <w:szCs w:val="22"/>
        </w:rPr>
        <w:t xml:space="preserve"> back".</w:t>
      </w:r>
    </w:p>
    <w:p w:rsidR="00012D27" w:rsidRDefault="00012D27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012D27" w:rsidRDefault="00012D27" w:rsidP="00EB789F">
      <w:pPr>
        <w:pStyle w:val="Kule1"/>
        <w:widowControl/>
        <w:ind w:left="60" w:firstLine="0"/>
        <w:rPr>
          <w:sz w:val="22"/>
          <w:szCs w:val="22"/>
        </w:rPr>
      </w:pPr>
      <w:r>
        <w:rPr>
          <w:sz w:val="22"/>
          <w:szCs w:val="22"/>
        </w:rPr>
        <w:t>I tillegg til ovennevnte porselenskategorier ble det også produsert porselen med andre forskjellige dekorer. Herunder blåhvitt, Famillevert</w:t>
      </w:r>
      <w:r w:rsidR="00D676EF">
        <w:rPr>
          <w:sz w:val="22"/>
          <w:szCs w:val="22"/>
        </w:rPr>
        <w:t>e</w:t>
      </w:r>
      <w:r>
        <w:rPr>
          <w:sz w:val="22"/>
          <w:szCs w:val="22"/>
        </w:rPr>
        <w:t>, I</w:t>
      </w:r>
      <w:r w:rsidR="00B90066">
        <w:rPr>
          <w:sz w:val="22"/>
          <w:szCs w:val="22"/>
        </w:rPr>
        <w:t>mari, Powder blue, Rouge de fer</w:t>
      </w:r>
      <w:r>
        <w:rPr>
          <w:sz w:val="22"/>
          <w:szCs w:val="22"/>
        </w:rPr>
        <w:t xml:space="preserve"> m.m.</w:t>
      </w:r>
    </w:p>
    <w:p w:rsidR="00663FBB" w:rsidRDefault="00663FBB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663FBB" w:rsidRDefault="00663FBB" w:rsidP="00663FBB">
      <w:r>
        <w:t xml:space="preserve">Mesteparten av eksporten </w:t>
      </w:r>
      <w:r w:rsidR="002E071D">
        <w:t xml:space="preserve">til Europa </w:t>
      </w:r>
      <w:r>
        <w:t>foregikk via handelsbyen Kanton</w:t>
      </w:r>
      <w:r w:rsidR="002E071D">
        <w:t>,</w:t>
      </w:r>
      <w:r>
        <w:t xml:space="preserve"> som </w:t>
      </w:r>
      <w:r w:rsidR="002E071D">
        <w:t>ble åpnet for eksport i 1699</w:t>
      </w:r>
      <w:r w:rsidR="00B43D66">
        <w:t xml:space="preserve"> </w:t>
      </w:r>
      <w:r w:rsidR="002E071D">
        <w:t xml:space="preserve">av keiser </w:t>
      </w:r>
      <w:r>
        <w:t xml:space="preserve">Kangxi. Først i 1719 fikk imidlertid Det Engelske Ostindia Kompani tillatelse til å etablere </w:t>
      </w:r>
      <w:r w:rsidR="00D676EF">
        <w:t xml:space="preserve">en </w:t>
      </w:r>
      <w:bookmarkStart w:id="0" w:name="_GoBack"/>
      <w:bookmarkEnd w:id="0"/>
      <w:r w:rsidR="00C904C7">
        <w:t>handelsstasjon i Kanton. Den</w:t>
      </w:r>
      <w:r>
        <w:t xml:space="preserve"> Hollandsk</w:t>
      </w:r>
      <w:r w:rsidR="00C904C7">
        <w:t>e handelsstasjon (VOC) ble etablert i 1729, den Svenske i 1731 og den</w:t>
      </w:r>
      <w:r>
        <w:t xml:space="preserve"> Danske i 1732.</w:t>
      </w:r>
    </w:p>
    <w:p w:rsidR="0069354A" w:rsidRDefault="0069354A" w:rsidP="0069354A">
      <w:pPr>
        <w:pStyle w:val="Kule1"/>
        <w:widowControl/>
        <w:ind w:left="0" w:firstLine="0"/>
        <w:rPr>
          <w:sz w:val="22"/>
          <w:szCs w:val="22"/>
        </w:rPr>
      </w:pPr>
    </w:p>
    <w:p w:rsidR="0069354A" w:rsidRDefault="0069354A" w:rsidP="00663FBB"/>
    <w:p w:rsidR="002C3971" w:rsidRDefault="002C3971" w:rsidP="00EB789F">
      <w:pPr>
        <w:pStyle w:val="Kule1"/>
        <w:widowControl/>
        <w:ind w:left="60" w:firstLine="0"/>
        <w:rPr>
          <w:sz w:val="22"/>
          <w:szCs w:val="22"/>
        </w:rPr>
      </w:pPr>
    </w:p>
    <w:p w:rsidR="000756F5" w:rsidRDefault="000756F5" w:rsidP="00515433">
      <w:pPr>
        <w:pStyle w:val="Kule1"/>
        <w:widowControl/>
        <w:ind w:left="60" w:firstLine="0"/>
      </w:pPr>
    </w:p>
    <w:sectPr w:rsidR="000756F5" w:rsidSect="00655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6B" w:rsidRDefault="00964C6B" w:rsidP="00382A22">
      <w:r>
        <w:separator/>
      </w:r>
    </w:p>
  </w:endnote>
  <w:endnote w:type="continuationSeparator" w:id="1">
    <w:p w:rsidR="00964C6B" w:rsidRDefault="00964C6B" w:rsidP="0038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6B" w:rsidRDefault="00964C6B" w:rsidP="00382A22">
      <w:r>
        <w:separator/>
      </w:r>
    </w:p>
  </w:footnote>
  <w:footnote w:type="continuationSeparator" w:id="1">
    <w:p w:rsidR="00964C6B" w:rsidRDefault="00964C6B" w:rsidP="0038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755035"/>
      <w:docPartObj>
        <w:docPartGallery w:val="Page Numbers (Top of Page)"/>
        <w:docPartUnique/>
      </w:docPartObj>
    </w:sdtPr>
    <w:sdtContent>
      <w:p w:rsidR="00A0077E" w:rsidRDefault="00184ACB">
        <w:pPr>
          <w:pStyle w:val="Topptekst"/>
        </w:pPr>
        <w:r>
          <w:fldChar w:fldCharType="begin"/>
        </w:r>
        <w:r w:rsidR="00130EBF">
          <w:instrText>PAGE   \* MERGEFORMAT</w:instrText>
        </w:r>
        <w:r>
          <w:fldChar w:fldCharType="separate"/>
        </w:r>
        <w:r w:rsidR="00F77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77E" w:rsidRDefault="00A0077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7143"/>
    <w:multiLevelType w:val="hybridMultilevel"/>
    <w:tmpl w:val="7C680F70"/>
    <w:lvl w:ilvl="0" w:tplc="5EDC831E"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433"/>
    <w:rsid w:val="00007FC8"/>
    <w:rsid w:val="00012D27"/>
    <w:rsid w:val="00062185"/>
    <w:rsid w:val="00074DAC"/>
    <w:rsid w:val="000756F5"/>
    <w:rsid w:val="0007797C"/>
    <w:rsid w:val="00094D83"/>
    <w:rsid w:val="000D3609"/>
    <w:rsid w:val="001061C6"/>
    <w:rsid w:val="00107D7B"/>
    <w:rsid w:val="001245C8"/>
    <w:rsid w:val="00130EBF"/>
    <w:rsid w:val="00155258"/>
    <w:rsid w:val="00184ACB"/>
    <w:rsid w:val="001B3F1B"/>
    <w:rsid w:val="00203A32"/>
    <w:rsid w:val="00232773"/>
    <w:rsid w:val="00243998"/>
    <w:rsid w:val="002667E6"/>
    <w:rsid w:val="00287616"/>
    <w:rsid w:val="002B73E4"/>
    <w:rsid w:val="002C18E4"/>
    <w:rsid w:val="002C3971"/>
    <w:rsid w:val="002C4937"/>
    <w:rsid w:val="002D300C"/>
    <w:rsid w:val="002E071D"/>
    <w:rsid w:val="0030382F"/>
    <w:rsid w:val="00325151"/>
    <w:rsid w:val="00342D6E"/>
    <w:rsid w:val="0035508A"/>
    <w:rsid w:val="00382A22"/>
    <w:rsid w:val="003A2235"/>
    <w:rsid w:val="003B7E77"/>
    <w:rsid w:val="003C5080"/>
    <w:rsid w:val="003F08A7"/>
    <w:rsid w:val="003F5973"/>
    <w:rsid w:val="00400EFC"/>
    <w:rsid w:val="004012F6"/>
    <w:rsid w:val="00414959"/>
    <w:rsid w:val="00466132"/>
    <w:rsid w:val="00467BF2"/>
    <w:rsid w:val="004740F4"/>
    <w:rsid w:val="00482862"/>
    <w:rsid w:val="00492485"/>
    <w:rsid w:val="004F7EFD"/>
    <w:rsid w:val="00515433"/>
    <w:rsid w:val="005521C5"/>
    <w:rsid w:val="00560618"/>
    <w:rsid w:val="00585F1B"/>
    <w:rsid w:val="00587E99"/>
    <w:rsid w:val="005E4C31"/>
    <w:rsid w:val="005F34BF"/>
    <w:rsid w:val="006247F1"/>
    <w:rsid w:val="006556FF"/>
    <w:rsid w:val="00663FBB"/>
    <w:rsid w:val="00687046"/>
    <w:rsid w:val="0069354A"/>
    <w:rsid w:val="0069415B"/>
    <w:rsid w:val="006A55DA"/>
    <w:rsid w:val="006C01D5"/>
    <w:rsid w:val="006C6A54"/>
    <w:rsid w:val="006C7D45"/>
    <w:rsid w:val="0071521D"/>
    <w:rsid w:val="0072148A"/>
    <w:rsid w:val="007454C6"/>
    <w:rsid w:val="007459EA"/>
    <w:rsid w:val="00746130"/>
    <w:rsid w:val="00750971"/>
    <w:rsid w:val="007A5956"/>
    <w:rsid w:val="007A74BC"/>
    <w:rsid w:val="007B2DA8"/>
    <w:rsid w:val="007E6178"/>
    <w:rsid w:val="00816BE1"/>
    <w:rsid w:val="0086370E"/>
    <w:rsid w:val="00885816"/>
    <w:rsid w:val="00893E8A"/>
    <w:rsid w:val="008D34A4"/>
    <w:rsid w:val="009004DA"/>
    <w:rsid w:val="00920962"/>
    <w:rsid w:val="009236FD"/>
    <w:rsid w:val="00964C6B"/>
    <w:rsid w:val="00971EB8"/>
    <w:rsid w:val="00990F83"/>
    <w:rsid w:val="009E14A2"/>
    <w:rsid w:val="009F0A39"/>
    <w:rsid w:val="009F6580"/>
    <w:rsid w:val="00A0077E"/>
    <w:rsid w:val="00A371E4"/>
    <w:rsid w:val="00A47057"/>
    <w:rsid w:val="00A52C78"/>
    <w:rsid w:val="00A5375B"/>
    <w:rsid w:val="00A83825"/>
    <w:rsid w:val="00AE35E9"/>
    <w:rsid w:val="00AF4AB5"/>
    <w:rsid w:val="00B02211"/>
    <w:rsid w:val="00B1047A"/>
    <w:rsid w:val="00B305B1"/>
    <w:rsid w:val="00B43D66"/>
    <w:rsid w:val="00B63F99"/>
    <w:rsid w:val="00B666D5"/>
    <w:rsid w:val="00B704CD"/>
    <w:rsid w:val="00B90066"/>
    <w:rsid w:val="00B97A14"/>
    <w:rsid w:val="00BC30CA"/>
    <w:rsid w:val="00BD0E3B"/>
    <w:rsid w:val="00BE37FC"/>
    <w:rsid w:val="00C02AEB"/>
    <w:rsid w:val="00C4306C"/>
    <w:rsid w:val="00C66432"/>
    <w:rsid w:val="00C904C7"/>
    <w:rsid w:val="00CB7014"/>
    <w:rsid w:val="00CD018E"/>
    <w:rsid w:val="00CF2F84"/>
    <w:rsid w:val="00CF492C"/>
    <w:rsid w:val="00D13501"/>
    <w:rsid w:val="00D27F3C"/>
    <w:rsid w:val="00D369E6"/>
    <w:rsid w:val="00D676EF"/>
    <w:rsid w:val="00D734E6"/>
    <w:rsid w:val="00D764C0"/>
    <w:rsid w:val="00DA3650"/>
    <w:rsid w:val="00DA700D"/>
    <w:rsid w:val="00DC094C"/>
    <w:rsid w:val="00DC2AE5"/>
    <w:rsid w:val="00DC379B"/>
    <w:rsid w:val="00DD5567"/>
    <w:rsid w:val="00E05B7D"/>
    <w:rsid w:val="00E15F95"/>
    <w:rsid w:val="00E24CC1"/>
    <w:rsid w:val="00E25B64"/>
    <w:rsid w:val="00E27213"/>
    <w:rsid w:val="00E501B4"/>
    <w:rsid w:val="00EA59D9"/>
    <w:rsid w:val="00EB0F5A"/>
    <w:rsid w:val="00EB789F"/>
    <w:rsid w:val="00EF1798"/>
    <w:rsid w:val="00F13C95"/>
    <w:rsid w:val="00F16EAC"/>
    <w:rsid w:val="00F615CF"/>
    <w:rsid w:val="00F64EEC"/>
    <w:rsid w:val="00F77FF7"/>
    <w:rsid w:val="00F97479"/>
    <w:rsid w:val="00FB22B6"/>
    <w:rsid w:val="00FB40D2"/>
    <w:rsid w:val="00FE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Overskrift9">
    <w:name w:val="heading 9"/>
    <w:basedOn w:val="Normal"/>
    <w:next w:val="Normal"/>
    <w:link w:val="Overskrift9Tegn"/>
    <w:qFormat/>
    <w:rsid w:val="00CB7014"/>
    <w:pPr>
      <w:keepNext/>
      <w:outlineLvl w:val="8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le1">
    <w:name w:val="Kule 1"/>
    <w:basedOn w:val="Normal"/>
    <w:rsid w:val="00515433"/>
    <w:pPr>
      <w:widowControl w:val="0"/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autoSpaceDE w:val="0"/>
      <w:autoSpaceDN w:val="0"/>
      <w:adjustRightInd w:val="0"/>
      <w:ind w:left="360" w:hanging="360"/>
    </w:pPr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382A22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22"/>
    <w:rPr>
      <w:rFonts w:ascii="Times New Roman" w:eastAsia="Times New Roman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82A22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22"/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B7014"/>
    <w:rPr>
      <w:rFonts w:ascii="Times New Roman" w:eastAsia="Times New Roman" w:hAnsi="Times New Roman" w:cs="Times New Roman"/>
      <w:szCs w:val="24"/>
      <w:u w:val="single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8E4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7F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F3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Overskrift9">
    <w:name w:val="heading 9"/>
    <w:basedOn w:val="Normal"/>
    <w:next w:val="Normal"/>
    <w:link w:val="Overskrift9Tegn"/>
    <w:qFormat/>
    <w:rsid w:val="00CB7014"/>
    <w:pPr>
      <w:keepNext/>
      <w:outlineLvl w:val="8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le1">
    <w:name w:val="Kule 1"/>
    <w:basedOn w:val="Normal"/>
    <w:rsid w:val="00515433"/>
    <w:pPr>
      <w:widowControl w:val="0"/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autoSpaceDE w:val="0"/>
      <w:autoSpaceDN w:val="0"/>
      <w:adjustRightInd w:val="0"/>
      <w:ind w:left="360" w:hanging="360"/>
    </w:pPr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382A22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22"/>
    <w:rPr>
      <w:rFonts w:ascii="Times New Roman" w:eastAsia="Times New Roman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82A22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22"/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B7014"/>
    <w:rPr>
      <w:rFonts w:ascii="Times New Roman" w:eastAsia="Times New Roman" w:hAnsi="Times New Roman" w:cs="Times New Roman"/>
      <w:szCs w:val="24"/>
      <w:u w:val="single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18E4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7F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F3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illighe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C3E6-0CC4-431E-AD62-1B25BD3F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Gamlem, Karl</dc:creator>
  <cp:lastModifiedBy>Gamlem</cp:lastModifiedBy>
  <cp:revision>5</cp:revision>
  <cp:lastPrinted>2014-02-18T13:49:00Z</cp:lastPrinted>
  <dcterms:created xsi:type="dcterms:W3CDTF">2016-02-12T19:44:00Z</dcterms:created>
  <dcterms:modified xsi:type="dcterms:W3CDTF">2016-02-20T10:14:00Z</dcterms:modified>
</cp:coreProperties>
</file>